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13" w:rsidRDefault="00BA5913" w:rsidP="00D609D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5913" w:rsidRDefault="00BA5913" w:rsidP="00D609D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0D30FB3" wp14:editId="3C0DEA71">
            <wp:simplePos x="0" y="0"/>
            <wp:positionH relativeFrom="column">
              <wp:posOffset>-299085</wp:posOffset>
            </wp:positionH>
            <wp:positionV relativeFrom="paragraph">
              <wp:posOffset>130175</wp:posOffset>
            </wp:positionV>
            <wp:extent cx="1520190" cy="180022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5_2215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913" w:rsidRDefault="00BA5913" w:rsidP="00D609D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5913">
        <w:rPr>
          <w:rFonts w:ascii="Times New Roman" w:hAnsi="Times New Roman" w:cs="Times New Roman"/>
          <w:b/>
          <w:sz w:val="28"/>
          <w:szCs w:val="28"/>
          <w:lang w:val="kk-KZ"/>
        </w:rPr>
        <w:t>Елемесова Залина Дуйсенбаевна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BA5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="00D60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9D1" w:rsidRPr="00F23E25">
        <w:rPr>
          <w:rFonts w:ascii="Times New Roman" w:hAnsi="Times New Roman" w:cs="Times New Roman"/>
          <w:sz w:val="28"/>
          <w:szCs w:val="28"/>
          <w:lang w:val="kk-KZ"/>
        </w:rPr>
        <w:t>№83 А.Байтұрсынов атындағы жалпы орта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609D1" w:rsidRDefault="00BA5913" w:rsidP="00D609D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23E25">
        <w:rPr>
          <w:rFonts w:ascii="Times New Roman" w:hAnsi="Times New Roman" w:cs="Times New Roman"/>
          <w:sz w:val="28"/>
          <w:szCs w:val="28"/>
          <w:lang w:val="kk-KZ"/>
        </w:rPr>
        <w:t>Оңтүстік Қазақстан 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лысы, Сайрам ауданы                                               </w:t>
      </w:r>
      <w:r w:rsidR="00D609D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BA5913" w:rsidRDefault="00BA5913" w:rsidP="00BA59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913" w:rsidRDefault="00BA5913" w:rsidP="00BA59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913" w:rsidRDefault="00BA5913" w:rsidP="00BA59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913" w:rsidRDefault="00BA5913" w:rsidP="00BA59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913" w:rsidRDefault="00BA5913" w:rsidP="00BA59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913" w:rsidRDefault="00BA5913" w:rsidP="00BA59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913" w:rsidRDefault="00BA5913" w:rsidP="00BA591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A5913" w:rsidRPr="00BA5913" w:rsidRDefault="00BA5913" w:rsidP="00BA591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A5913">
        <w:rPr>
          <w:rFonts w:ascii="Times New Roman" w:hAnsi="Times New Roman" w:cs="Times New Roman"/>
          <w:b/>
          <w:sz w:val="28"/>
          <w:szCs w:val="24"/>
          <w:lang w:val="kk-KZ"/>
        </w:rPr>
        <w:t>Жану үдерісі. №2 практикалық жұмыс\көрсетілім «Күкірттің, фосфордың, темірдің а</w:t>
      </w:r>
      <w:bookmarkStart w:id="0" w:name="_GoBack"/>
      <w:bookmarkEnd w:id="0"/>
      <w:r w:rsidRPr="00BA5913">
        <w:rPr>
          <w:rFonts w:ascii="Times New Roman" w:hAnsi="Times New Roman" w:cs="Times New Roman"/>
          <w:b/>
          <w:sz w:val="28"/>
          <w:szCs w:val="24"/>
          <w:lang w:val="kk-KZ"/>
        </w:rPr>
        <w:t>уада және оттекте жануын салыстыру»</w:t>
      </w:r>
    </w:p>
    <w:tbl>
      <w:tblPr>
        <w:tblStyle w:val="a4"/>
        <w:tblpPr w:leftFromText="180" w:rightFromText="180" w:vertAnchor="text" w:horzAnchor="margin" w:tblpXSpec="center" w:tblpY="1038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850"/>
        <w:gridCol w:w="1276"/>
        <w:gridCol w:w="1418"/>
        <w:gridCol w:w="1489"/>
        <w:gridCol w:w="2196"/>
      </w:tblGrid>
      <w:tr w:rsidR="00BA5913" w:rsidRPr="00BA5913" w:rsidTr="00BA5913">
        <w:trPr>
          <w:trHeight w:val="697"/>
        </w:trPr>
        <w:tc>
          <w:tcPr>
            <w:tcW w:w="10456" w:type="dxa"/>
            <w:gridSpan w:val="8"/>
            <w:tcBorders>
              <w:righ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 7.2В Ауа. Жану реакциясы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7 «ә»</w:t>
            </w:r>
          </w:p>
        </w:tc>
      </w:tr>
      <w:tr w:rsidR="00BA5913" w:rsidRPr="00BA5913" w:rsidTr="00BA5913">
        <w:tc>
          <w:tcPr>
            <w:tcW w:w="3227" w:type="dxa"/>
            <w:gridSpan w:val="3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  оқу мақсаттары (оқу бағдарламасына сілтеме)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:rsidR="00BA5913" w:rsidRDefault="00BA5913" w:rsidP="00BA5913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7.3.1.4 -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затты жағуға қажетті жағдайларды және жану реакциясының өнімдерін білу;</w:t>
            </w:r>
          </w:p>
          <w:p w:rsidR="00BA5913" w:rsidRDefault="00BA5913" w:rsidP="00BA5913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7.3.1.5 -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тез тұтанатын, жанғыш және жанбайтын заттарға мысалдар келтіру;</w:t>
            </w:r>
          </w:p>
          <w:p w:rsidR="00BA5913" w:rsidRDefault="00BA5913" w:rsidP="00BA5913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7.3.1.6  -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заттардың таза оттекте жақсырақ жанатындығын түсіну;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7.3.1.7 -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металдар мен бейметалдардың жануы кезінде оксидтер түзілетіндігін  білу;</w:t>
            </w:r>
          </w:p>
        </w:tc>
      </w:tr>
      <w:tr w:rsidR="00BA5913" w:rsidTr="00BA5913">
        <w:tc>
          <w:tcPr>
            <w:tcW w:w="2235" w:type="dxa"/>
            <w:gridSpan w:val="2"/>
            <w:vMerge w:val="restart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</w:tr>
      <w:tr w:rsidR="00BA5913" w:rsidTr="00BA5913">
        <w:trPr>
          <w:trHeight w:val="592"/>
        </w:trPr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5"/>
              <w:numPr>
                <w:ilvl w:val="0"/>
                <w:numId w:val="11"/>
              </w:numPr>
              <w:tabs>
                <w:tab w:val="left" w:pos="250"/>
              </w:tabs>
              <w:spacing w:line="240" w:lineRule="auto"/>
              <w:ind w:left="108" w:firstLine="0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затты жағуға қажетті жағдайларды және жану реакциясының өнімдерін біледі.</w:t>
            </w:r>
          </w:p>
        </w:tc>
      </w:tr>
      <w:tr w:rsidR="00BA5913" w:rsidTr="00BA5913"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BA5913" w:rsidRPr="00BA5913" w:rsidTr="00BA5913"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5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108" w:firstLine="0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тез тұтанатын, жанғыш және жанбайтын заттарға мысалдар келтіреді.</w:t>
            </w:r>
          </w:p>
          <w:p w:rsidR="00BA5913" w:rsidRDefault="00BA5913" w:rsidP="00BA5913">
            <w:pPr>
              <w:pStyle w:val="a5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заттардың таза оттекте жақсырақ жанатындығын түсінеді.</w:t>
            </w:r>
          </w:p>
        </w:tc>
      </w:tr>
      <w:tr w:rsidR="00BA5913" w:rsidTr="00BA5913"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BA5913" w:rsidTr="00BA5913"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металдар мен бейметалдардың жануы кезінде оксидтер түзілетіндігін  біледі.</w:t>
            </w:r>
          </w:p>
        </w:tc>
      </w:tr>
      <w:tr w:rsid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Білу, түсіну, қолдану</w:t>
            </w:r>
          </w:p>
          <w:p w:rsidR="00BA5913" w:rsidRDefault="00BA5913" w:rsidP="00BA5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 жағуға  қажетті жағдайларды және жану реакциясының өнімдерін атайды.</w:t>
            </w:r>
          </w:p>
          <w:p w:rsidR="00BA5913" w:rsidRDefault="00BA5913" w:rsidP="00BA591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 тұтанатын, жанғыш және жанбайтын заттарды анықтайды.</w:t>
            </w:r>
          </w:p>
          <w:p w:rsidR="00BA5913" w:rsidRDefault="00BA5913" w:rsidP="00BA591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келтіреді</w:t>
            </w:r>
          </w:p>
          <w:p w:rsidR="00BA5913" w:rsidRDefault="00BA5913" w:rsidP="00BA591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мен таза оттекте заттардың жану процестерін салыстыра алады.</w:t>
            </w:r>
          </w:p>
        </w:tc>
      </w:tr>
      <w:tr w:rsidR="00BA5913" w:rsidRPr="00BA5913" w:rsidTr="00BA5913">
        <w:tc>
          <w:tcPr>
            <w:tcW w:w="2235" w:type="dxa"/>
            <w:gridSpan w:val="2"/>
            <w:vMerge w:val="restart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Оқушылар орындай алады:</w:t>
            </w:r>
          </w:p>
          <w:p w:rsidR="00BA5913" w:rsidRP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Заттардың ауада және оттекте жақсы жанатынын түсіндіру. </w:t>
            </w:r>
          </w:p>
        </w:tc>
      </w:tr>
      <w:tr w:rsidR="00BA5913" w:rsidRPr="00BA5913" w:rsidTr="00BA5913"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Негізгі сөздер мен тіркестер: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таңба,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элемент, жану, құралдар.</w:t>
            </w:r>
          </w:p>
        </w:tc>
      </w:tr>
      <w:tr w:rsidR="00BA5913" w:rsidRPr="00BA5913" w:rsidTr="00BA5913">
        <w:trPr>
          <w:trHeight w:val="760"/>
        </w:trPr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6"/>
            <w:tcBorders>
              <w:bottom w:val="nil"/>
            </w:tcBorders>
          </w:tcPr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Сыныптағы диалог/жазылым үшін пайдалы тілдік тіркестер:</w:t>
            </w:r>
          </w:p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Жану қандай құбылысқа жатады? </w:t>
            </w:r>
          </w:p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2. Жану кезінде химиялық реакцияның қандай белгісі байқалады?</w:t>
            </w:r>
          </w:p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3. Жану реакциясының нәтижесінде түзілетін өнім қалай аталады?</w:t>
            </w:r>
          </w:p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4. Заттардың оттекте жануы мен ауада жануында қандай айырмашылық бар? </w:t>
            </w:r>
          </w:p>
          <w:p w:rsidR="00BA5913" w:rsidRDefault="00BA5913" w:rsidP="00BA59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5. Жай заттар мен күрделі заттардың жануының ұқсастығы 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 айырма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шылығы неде? </w:t>
            </w:r>
          </w:p>
        </w:tc>
      </w:tr>
      <w:tr w:rsidR="00BA5913" w:rsidRPr="00BA5913" w:rsidTr="00BA5913">
        <w:trPr>
          <w:trHeight w:val="150"/>
        </w:trPr>
        <w:tc>
          <w:tcPr>
            <w:tcW w:w="2235" w:type="dxa"/>
            <w:gridSpan w:val="2"/>
            <w:vMerge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6"/>
            <w:tcBorders>
              <w:top w:val="nil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</w:p>
        </w:tc>
      </w:tr>
      <w:tr w:rsidR="00BA5913" w:rsidRP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Бірлесе жұмыс жасау, сын тұрғысынан ойлау, топтық жұмыс барысында өзара сыйластық, құрметпен қарау, ынтымақтастық, белсенді болу, жауапкершілікті сезіну, білім алуға дайын болу.</w:t>
            </w:r>
          </w:p>
        </w:tc>
      </w:tr>
      <w:tr w:rsidR="00BA5913" w:rsidRP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пәні. 5-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5.1. Энергия түрлері мен көздері</w:t>
            </w:r>
          </w:p>
        </w:tc>
      </w:tr>
      <w:tr w:rsid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Алдыңғы оқу </w:t>
            </w:r>
          </w:p>
        </w:tc>
        <w:tc>
          <w:tcPr>
            <w:tcW w:w="8221" w:type="dxa"/>
            <w:gridSpan w:val="6"/>
          </w:tcPr>
          <w:p w:rsidR="00BA5913" w:rsidRPr="006879A4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8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Ауаның құрамын біледі</w:t>
            </w:r>
          </w:p>
        </w:tc>
      </w:tr>
      <w:tr w:rsid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8221" w:type="dxa"/>
            <w:gridSpan w:val="6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BA5913" w:rsidTr="00BA5913">
        <w:tc>
          <w:tcPr>
            <w:tcW w:w="2235" w:type="dxa"/>
            <w:gridSpan w:val="2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BA5913" w:rsidRDefault="00BA5913" w:rsidP="00BA59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BA5913" w:rsidRDefault="00BA5913" w:rsidP="00BA59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A5913" w:rsidRPr="00BA5913" w:rsidTr="00BA5913">
        <w:tc>
          <w:tcPr>
            <w:tcW w:w="1242" w:type="dxa"/>
            <w:tcBorders>
              <w:righ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BA5913" w:rsidRDefault="00BA5913" w:rsidP="00BA591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психологиялық ахуал тудыру  </w:t>
            </w:r>
          </w:p>
          <w:p w:rsidR="00BA5913" w:rsidRDefault="00BA5913" w:rsidP="00BA591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Сыныпта оқушылар «Фосфор», «Темір», «Күкірт» болып  бірігіп 3 топқа  бөлінеді</w:t>
            </w:r>
          </w:p>
          <w:p w:rsidR="00BA5913" w:rsidRPr="00BA5913" w:rsidRDefault="00BA5913" w:rsidP="00BA59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val="kk-KZ"/>
              </w:rPr>
              <w:t>Топ ережелерін сақтай отырып, сабақтарына сәттілік тілеу</w:t>
            </w: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val="kk-KZ"/>
              </w:rPr>
              <w:t>.</w:t>
            </w:r>
          </w:p>
          <w:p w:rsidR="00BA5913" w:rsidRDefault="00BA5913" w:rsidP="00BA591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Үй тапсырмасын сұрау </w:t>
            </w:r>
          </w:p>
          <w:p w:rsidR="00BA5913" w:rsidRDefault="00BA5913" w:rsidP="00BA591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«Ыстық орындық» диалог жүргізу арқылы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сұрақ-жауап барысында оқушының үй тапсырмасын қаншалықты меңгергендігін бақылау </w:t>
            </w:r>
          </w:p>
          <w:p w:rsidR="00BA5913" w:rsidRPr="00BA5913" w:rsidRDefault="00BA5913" w:rsidP="00BA591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6"/>
                <w:szCs w:val="24"/>
                <w:lang w:val="kk-KZ"/>
              </w:rPr>
            </w:pPr>
          </w:p>
          <w:p w:rsidR="00BA5913" w:rsidRDefault="00BA5913" w:rsidP="00BA591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Жеке жұмыс</w:t>
            </w:r>
          </w:p>
          <w:p w:rsidR="00BA5913" w:rsidRDefault="00BA5913" w:rsidP="00BA5913">
            <w:pPr>
              <w:pStyle w:val="a3"/>
              <w:numPr>
                <w:ilvl w:val="0"/>
                <w:numId w:val="14"/>
              </w:numPr>
              <w:ind w:left="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Ауа құрамындағы тұрақты газарды ата?</w:t>
            </w:r>
          </w:p>
          <w:p w:rsidR="00BA5913" w:rsidRDefault="00BA5913" w:rsidP="00BA5913">
            <w:pPr>
              <w:pStyle w:val="a3"/>
              <w:numPr>
                <w:ilvl w:val="0"/>
                <w:numId w:val="14"/>
              </w:numPr>
              <w:ind w:left="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Ауа құрамындағы кездейсоқ газдарды ата?</w:t>
            </w:r>
          </w:p>
          <w:p w:rsidR="00BA5913" w:rsidRDefault="00BA5913" w:rsidP="00BA5913">
            <w:pPr>
              <w:pStyle w:val="a3"/>
              <w:numPr>
                <w:ilvl w:val="0"/>
                <w:numId w:val="14"/>
              </w:numPr>
              <w:ind w:left="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Жануды қолдайтын газды ата?</w:t>
            </w:r>
          </w:p>
          <w:p w:rsidR="00BA5913" w:rsidRDefault="00BA5913" w:rsidP="00BA5913">
            <w:pPr>
              <w:pStyle w:val="a3"/>
              <w:numPr>
                <w:ilvl w:val="0"/>
                <w:numId w:val="14"/>
              </w:numPr>
              <w:ind w:left="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Ауа құрамындағы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газдардың пайыздық мөлш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ері?</w:t>
            </w:r>
          </w:p>
          <w:p w:rsidR="00BA5913" w:rsidRDefault="00BA5913" w:rsidP="00BA5913">
            <w:pPr>
              <w:pStyle w:val="a3"/>
              <w:numPr>
                <w:ilvl w:val="0"/>
                <w:numId w:val="14"/>
              </w:numPr>
              <w:ind w:left="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Тыныс алуға жарамды газ?</w:t>
            </w:r>
          </w:p>
          <w:p w:rsidR="00BA5913" w:rsidRPr="00BA5913" w:rsidRDefault="00BA5913" w:rsidP="00BA5913">
            <w:pPr>
              <w:pStyle w:val="a3"/>
              <w:numPr>
                <w:ilvl w:val="0"/>
                <w:numId w:val="14"/>
              </w:numPr>
              <w:ind w:left="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Орман газын атаңыз?</w:t>
            </w: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назарын сабаққа шоғырландыра отырып, үй тапсырмасымен жаңа сабақты байланыстырып тақырыпты ашу.</w:t>
            </w:r>
          </w:p>
          <w:p w:rsidR="00BA5913" w:rsidRP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913" w:rsidTr="00BA5913">
        <w:trPr>
          <w:trHeight w:val="12043"/>
        </w:trPr>
        <w:tc>
          <w:tcPr>
            <w:tcW w:w="1242" w:type="dxa"/>
            <w:tcBorders>
              <w:righ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мин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Pr="006879A4" w:rsidRDefault="00BA5913" w:rsidP="00BA5913">
            <w:pPr>
              <w:rPr>
                <w:rFonts w:ascii="Times New Roman" w:hAnsi="Times New Roman" w:cs="Times New Roman"/>
                <w:lang w:val="kk-KZ"/>
              </w:rPr>
            </w:pPr>
            <w:r w:rsidRPr="006879A4">
              <w:rPr>
                <w:rFonts w:ascii="Times New Roman" w:hAnsi="Times New Roman" w:cs="Times New Roman"/>
                <w:lang w:val="kk-KZ"/>
              </w:rPr>
              <w:t>10 мин</w:t>
            </w:r>
          </w:p>
          <w:p w:rsidR="00BA5913" w:rsidRPr="006879A4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мин                 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Бейнеролик. Тақырып ашылады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Жаңа сабақтың мазмұнын ашу үшін АКТ-ны кеңінен қолдана отырып «Бейнеролик» әдісі арқылы  фосфордың, темірдің, күкірттің оттекте қарқынды жану үрдісін көрсетеміз. 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40B8C" wp14:editId="71CBCFCD">
                  <wp:extent cx="2733675" cy="1402056"/>
                  <wp:effectExtent l="0" t="0" r="0" b="8255"/>
                  <wp:docPr id="1" name="Рисунок 1" descr="C:\Users\USER\Desktop\Рабочый экран\Химик анықтамалығы\Documents\темірдің жану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чый экран\Химик анықтамалығы\Documents\темірдің жану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43" cy="140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қосымша түсіндіреді, толықтырады.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сарамандық жұмыс ( Топтық жұмыс)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Сарамандық жұмыс жүргізу барысында оқушы зерттеу жұмыс жүргізуге, өзінің теориялық білімін практикамен ұштастырып өмірде тиімді пайдалануға және өзіндік білім алуға өте тиімді.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өз атына сәйкес фосфордың, темірдің, күкірттің оттекте жану процесін көрсетеді, жә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оқушыларға қажетті құрал-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 ұсынылады. Оқушыларды техника қауіпсіздік ережесін қатаң ұстану ескертілді. Осы процес барысында байқаған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ағдайларды тапсырма барысында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элементтердің оттекте жану процесін көрсетіп түсіндірме жұмысын жүргізді және кестені толтырып отырды.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 орындап болған топ, қол жапалақтау арқылы белгі береді. Топтар өзара бір-бірін бағалайды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тапсырма. (Жеке жұмыс)</w:t>
            </w: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1-тапсырма</w:t>
            </w: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Оттекте жану                        Ауада жану        </w:t>
            </w: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386B8402" wp14:editId="0FB4030B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135255</wp:posOffset>
                  </wp:positionV>
                  <wp:extent cx="2286000" cy="1432560"/>
                  <wp:effectExtent l="0" t="0" r="0" b="0"/>
                  <wp:wrapSquare wrapText="bothSides"/>
                  <wp:docPr id="3" name="Рисунок 3" descr="C:\Users\USER\Desktop\Рабочый экран\Химик анықтамалығы\Documents\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чый экран\Химик анықтамалығы\Documents\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A5913" w:rsidRP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</w:t>
            </w:r>
          </w:p>
          <w:p w:rsidR="00BA5913" w:rsidRDefault="00BA5913" w:rsidP="00BA591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Жанудың жарқырап жануына байланысты анықтайды;</w:t>
            </w:r>
          </w:p>
          <w:p w:rsidR="00BA5913" w:rsidRPr="00BA5913" w:rsidRDefault="00BA5913" w:rsidP="00BA591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 суретті салыстырып айырмашылықты сәйкестендіреді.</w:t>
            </w: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2.Тапсырма</w:t>
            </w: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Ұсынылған заттарды жану қабілетіне байланысты жанғыш, тұтанғыш, жанбайтын деп үш топқа бөліңіз:</w:t>
            </w: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Шырпы, мүсәтір спирті, темір, тас, антистатикалық сұйықтық, қағаз.</w:t>
            </w:r>
          </w:p>
          <w:p w:rsidR="00BA5913" w:rsidRP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val="kk-KZ" w:eastAsia="ru-RU"/>
              </w:rPr>
            </w:pPr>
          </w:p>
          <w:tbl>
            <w:tblPr>
              <w:tblStyle w:val="a4"/>
              <w:tblW w:w="5586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</w:tblGrid>
            <w:tr w:rsidR="00BA5913" w:rsidRPr="00BA5913" w:rsidTr="003A1EDD"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Тез тұтанатын заттар</w:t>
                  </w:r>
                </w:p>
              </w:tc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Жанғыш заттар</w:t>
                  </w:r>
                </w:p>
              </w:tc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Жанбайтын заттар</w:t>
                  </w:r>
                </w:p>
              </w:tc>
            </w:tr>
            <w:tr w:rsidR="00BA5913" w:rsidRPr="00BA5913" w:rsidTr="003A1EDD"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A5913" w:rsidRPr="00BA5913" w:rsidTr="003A1EDD"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ind w:left="34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Дискриптор</w:t>
            </w:r>
          </w:p>
          <w:p w:rsidR="00BA5913" w:rsidRDefault="00BA5913" w:rsidP="00BA5913">
            <w:pPr>
              <w:pStyle w:val="a3"/>
              <w:numPr>
                <w:ilvl w:val="0"/>
                <w:numId w:val="18"/>
              </w:numPr>
              <w:ind w:left="488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Тез тұтанатын заттарды анықтайды;</w:t>
            </w:r>
          </w:p>
          <w:p w:rsidR="00BA5913" w:rsidRDefault="00BA5913" w:rsidP="00BA5913">
            <w:pPr>
              <w:pStyle w:val="a3"/>
              <w:numPr>
                <w:ilvl w:val="0"/>
                <w:numId w:val="18"/>
              </w:numPr>
              <w:ind w:left="488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Жанғыш заттарды анықтайды;</w:t>
            </w:r>
          </w:p>
          <w:p w:rsidR="00BA5913" w:rsidRDefault="00BA5913" w:rsidP="00BA5913">
            <w:pPr>
              <w:pStyle w:val="a3"/>
              <w:numPr>
                <w:ilvl w:val="0"/>
                <w:numId w:val="18"/>
              </w:numPr>
              <w:ind w:left="488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Жанбайтын заттарды анықтайды;</w:t>
            </w:r>
          </w:p>
          <w:p w:rsidR="00BA5913" w:rsidRDefault="00BA5913" w:rsidP="00BA5913">
            <w:pPr>
              <w:pStyle w:val="a3"/>
              <w:numPr>
                <w:ilvl w:val="0"/>
                <w:numId w:val="18"/>
              </w:numPr>
              <w:ind w:left="488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Тез тұтанатын заттарға екі мысал келтіреді;</w:t>
            </w:r>
          </w:p>
          <w:p w:rsidR="00BA5913" w:rsidRDefault="00BA5913" w:rsidP="00BA5913">
            <w:pPr>
              <w:pStyle w:val="a3"/>
              <w:numPr>
                <w:ilvl w:val="0"/>
                <w:numId w:val="18"/>
              </w:numPr>
              <w:ind w:left="488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Жанғышзаттарға екі мысал келтіреді;</w:t>
            </w:r>
          </w:p>
          <w:p w:rsidR="00BA5913" w:rsidRDefault="00BA5913" w:rsidP="00BA5913">
            <w:pPr>
              <w:pStyle w:val="a3"/>
              <w:numPr>
                <w:ilvl w:val="0"/>
                <w:numId w:val="18"/>
              </w:numPr>
              <w:ind w:left="488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Жанбайтын заттарға екі мысал келтіреді;</w:t>
            </w:r>
          </w:p>
          <w:p w:rsidR="00BA5913" w:rsidRPr="00BA5913" w:rsidRDefault="00BA5913" w:rsidP="00BA5913">
            <w:pPr>
              <w:pStyle w:val="a3"/>
              <w:ind w:left="488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kk-KZ" w:eastAsia="ru-RU"/>
              </w:rPr>
            </w:pPr>
          </w:p>
          <w:p w:rsidR="00BA5913" w:rsidRDefault="00BA5913" w:rsidP="00BA591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Тапсырма</w:t>
            </w:r>
          </w:p>
          <w:p w:rsidR="00BA5913" w:rsidRDefault="00BA5913" w:rsidP="00BA5913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Жануды қолдайтын және болдырмайтын жағдайларды атап, кестені толтыр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</w:tblGrid>
            <w:tr w:rsidR="00BA5913" w:rsidRPr="00BA5913" w:rsidTr="003A1EDD"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BA591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Жануды қолдайтын жағдайлар</w:t>
                  </w:r>
                </w:p>
              </w:tc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BA591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Жануды тоқтататын жағдайлар</w:t>
                  </w:r>
                </w:p>
              </w:tc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  <w:r w:rsidRPr="00BA591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  <w:t>Жануды  тоқтату әдістері</w:t>
                  </w:r>
                </w:p>
              </w:tc>
            </w:tr>
            <w:tr w:rsidR="00BA5913" w:rsidRPr="00BA5913" w:rsidTr="003A1EDD"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</w:tr>
            <w:tr w:rsidR="00BA5913" w:rsidRPr="00BA5913" w:rsidTr="003A1EDD"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62" w:type="dxa"/>
                </w:tcPr>
                <w:p w:rsidR="00BA5913" w:rsidRPr="00BA5913" w:rsidRDefault="00BA5913" w:rsidP="00BA5913">
                  <w:pPr>
                    <w:pStyle w:val="a3"/>
                    <w:framePr w:hSpace="180" w:wrap="around" w:vAnchor="text" w:hAnchor="margin" w:xAlign="center" w:y="1038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kk-KZ" w:eastAsia="ru-RU"/>
                    </w:rPr>
                  </w:pPr>
                </w:p>
              </w:tc>
            </w:tr>
          </w:tbl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Дескриптор</w:t>
            </w: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− жануды қолдайтын  жағдайларды атайды;</w:t>
            </w: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− жануды болдырмайтын жағдайларды атайды;  </w:t>
            </w: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− жануды тоқтату әдістерін атайды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BA5913" w:rsidRP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kk-KZ" w:eastAsia="ru-RU"/>
              </w:rPr>
            </w:pPr>
          </w:p>
          <w:p w:rsidR="00BA5913" w:rsidRDefault="00BA5913" w:rsidP="00BA591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 соңында оқушылар берілген критерий бойынша бірін-бірі тексереді және қалыптастырушы бағалау бойынша бірін-бірі смайликтер арқылы бағалайды.</w:t>
            </w:r>
          </w:p>
          <w:p w:rsidR="00BA5913" w:rsidRDefault="00BA5913" w:rsidP="00BA5913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A5913" w:rsidRDefault="00BA5913" w:rsidP="00BA5913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  <w:p w:rsidR="00BA5913" w:rsidRDefault="00BA5913" w:rsidP="00BA5913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AAB4C" wp14:editId="25AA3D6E">
                  <wp:extent cx="963295" cy="617838"/>
                  <wp:effectExtent l="0" t="0" r="8255" b="0"/>
                  <wp:docPr id="7" name="Рисунок 7" descr="C:\Users\USER\Downloads\денсаулық\смайлик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денсаулық\смайлик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71" cy="62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36EFF" wp14:editId="11C5D6F0">
                  <wp:extent cx="823784" cy="616585"/>
                  <wp:effectExtent l="0" t="0" r="0" b="0"/>
                  <wp:docPr id="8" name="Рисунок 8" descr="C:\Users\USER\Downloads\денсаулық\смайлик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денсаулық\смайлик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1" cy="62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DD36A0C" wp14:editId="62984109">
                  <wp:extent cx="897461" cy="635356"/>
                  <wp:effectExtent l="0" t="0" r="0" b="0"/>
                  <wp:docPr id="12" name="Рисунок 12" descr="C:\Users\USER\Downloads\денсаулық\смайлик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денсаулық\смайлик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25" cy="65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«Кім жылдам?» ойыны ойнатылады.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 жаңа тақырыпқа байланысты жану реакциясына мысалдар келтіріп тақтамен жұмыс жасайды яғни рекция теңдеуін жазады.</w:t>
            </w:r>
          </w:p>
          <w:p w:rsidR="00BA5913" w:rsidRP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Сa+O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2CaO</w:t>
            </w:r>
          </w:p>
          <w:p w:rsidR="00BA5913" w:rsidRP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P+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2P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5</w:t>
            </w:r>
          </w:p>
          <w:p w:rsidR="00BA5913" w:rsidRP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</w:pP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Al+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2Al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3</w:t>
            </w:r>
          </w:p>
          <w:p w:rsidR="00BA5913" w:rsidRP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Na+O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2Na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</w:t>
            </w:r>
          </w:p>
          <w:p w:rsidR="00BA5913" w:rsidRP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K+O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2K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BA5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</w:t>
            </w:r>
          </w:p>
          <w:p w:rsidR="00BA5913" w:rsidRDefault="00BA5913" w:rsidP="00BA59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7E821" wp14:editId="383107D7">
                  <wp:extent cx="963295" cy="617838"/>
                  <wp:effectExtent l="0" t="0" r="8255" b="0"/>
                  <wp:docPr id="4" name="Рисунок 4" descr="C:\Users\USER\Downloads\денсаулық\смайлик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денсаулық\смайлик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71" cy="62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13" w:rsidRPr="00BA5913" w:rsidRDefault="00BA5913" w:rsidP="00BA59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Тапсырманы орындаған оқушылар смайликпен марапатталады.</w:t>
            </w:r>
          </w:p>
          <w:p w:rsidR="00BA5913" w:rsidRDefault="00BA5913" w:rsidP="00BA5913">
            <w:pPr>
              <w:tabs>
                <w:tab w:val="left" w:pos="2128"/>
              </w:tabs>
              <w:rPr>
                <w:lang w:val="kk-KZ" w:eastAsia="ru-RU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FF"/>
                <w:sz w:val="28"/>
                <w:lang w:val="kk-KZ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Периодтық кесте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https://youtu.be/o9Rvc3Vae_c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Приборлар, қажетті-құралдар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 қағаздары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 оқулық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/сілтеме/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Кеспе қағаздармен жұмыс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A5913" w:rsidTr="00E87D8E">
        <w:trPr>
          <w:trHeight w:val="3679"/>
        </w:trPr>
        <w:tc>
          <w:tcPr>
            <w:tcW w:w="1242" w:type="dxa"/>
            <w:tcBorders>
              <w:righ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 қорыту.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Сабақты бекіту мақсатында «Серпілген сауал? 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Сұрақтар қою aрқылы оқушылaрдың білімін тексеріп, тілдік мақсаттарының орындалғандығын бақылау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Рефлексия:  </w:t>
            </w:r>
          </w:p>
          <w:p w:rsidR="00BA5913" w:rsidRDefault="00BA5913" w:rsidP="00BA5913">
            <w:pPr>
              <w:tabs>
                <w:tab w:val="left" w:pos="746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«Көк алма, қызыл алма» стикері таратылады,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 алмаға «Сабақта не түсініксіз болды?», Қызыл алмаға «Бәрін түсінген оқушы» пікірін жазады, Алма ағашына іледі.                                                                         </w:t>
            </w:r>
            <w:r w:rsidR="00E87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тұрмыста тез тұтанатын және жануды қолдамайтын заттарды анықтап келіңіз.</w:t>
            </w:r>
          </w:p>
          <w:p w:rsidR="00BA5913" w:rsidRPr="00BA5913" w:rsidRDefault="00BA5913" w:rsidP="00BA59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  <w:t>Оқушыларға қосымша түсінік беріледі.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</w:tc>
      </w:tr>
      <w:tr w:rsidR="00BA5913" w:rsidTr="00BA5913">
        <w:tc>
          <w:tcPr>
            <w:tcW w:w="10456" w:type="dxa"/>
            <w:gridSpan w:val="8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ақпарат       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A5913" w:rsidTr="00E87D8E">
        <w:tc>
          <w:tcPr>
            <w:tcW w:w="4077" w:type="dxa"/>
            <w:gridSpan w:val="4"/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техникасын сақтау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A5913" w:rsidRPr="00BA5913" w:rsidTr="00E87D8E">
        <w:trPr>
          <w:trHeight w:val="1734"/>
        </w:trPr>
        <w:tc>
          <w:tcPr>
            <w:tcW w:w="4077" w:type="dxa"/>
            <w:gridSpan w:val="4"/>
          </w:tcPr>
          <w:p w:rsidR="00BA5913" w:rsidRPr="00E87D8E" w:rsidRDefault="00BA5913" w:rsidP="00E87D8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жасағанда қабілеті жоғары оқушыларға сұрақтарды түрлендіріп қою арқылы  ынталандырамын.</w:t>
            </w:r>
          </w:p>
          <w:p w:rsidR="00BA5913" w:rsidRDefault="00BA5913" w:rsidP="00E87D8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 оқушылардың жылдамдығын арттыратын әдістерді қарастырамын.</w:t>
            </w:r>
          </w:p>
          <w:p w:rsidR="00BA5913" w:rsidRPr="00E87D8E" w:rsidRDefault="00BA5913" w:rsidP="00E87D8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сабақтың тақырыбын өз бетімен зерттеу жүргізу арқылы түсінуге мүмкіндік беремін.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бағалау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 алма, қызыл алма» стикері</w:t>
            </w:r>
          </w:p>
          <w:p w:rsidR="00BA5913" w:rsidRDefault="00BA5913" w:rsidP="00BA5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үйренгенін тексеруді тиімді бағалау әдістері арқылы жоспарлаймын</w:t>
            </w:r>
            <w:r w:rsidR="00E87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BA5913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</w:t>
            </w:r>
            <w:r w:rsidR="00BA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физикада,  химиядағы термин сөздер көп кездеседі.</w:t>
            </w:r>
          </w:p>
          <w:p w:rsidR="00BA5913" w:rsidRDefault="00BA5913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-Тақырыпты толық түсінуде АКТ маңызды</w:t>
            </w:r>
            <w:r w:rsidR="00E87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5913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</w:t>
            </w:r>
            <w:r w:rsidR="00BA5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оптық жұмыста проблемаларды шешу қабілеті, білімді шығармашылық тұрғыда қолдана білу қабілеті құндылықтары байқалады.</w:t>
            </w:r>
          </w:p>
        </w:tc>
      </w:tr>
      <w:tr w:rsidR="00E87D8E" w:rsidRPr="00BA5913" w:rsidTr="00E87D8E">
        <w:trPr>
          <w:trHeight w:val="2353"/>
        </w:trPr>
        <w:tc>
          <w:tcPr>
            <w:tcW w:w="5353" w:type="dxa"/>
            <w:gridSpan w:val="5"/>
          </w:tcPr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\оқу мақсаттары шынайы ма?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ахуал қандай болды?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жоспарлаған саралау шаралары  тиімді болды ма?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берілген уақыт ішінде үлгердім бе?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өз жоспарыма қандай түзетулер  енгіздім және неліктен?</w:t>
            </w:r>
          </w:p>
        </w:tc>
        <w:tc>
          <w:tcPr>
            <w:tcW w:w="5103" w:type="dxa"/>
            <w:gridSpan w:val="3"/>
          </w:tcPr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Төмендегі бос ұяшыққа  сабақ туралы  өз пікіріңізді жазыңыз.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 ұяшықтағы  Сіздің сабағыңыздың  тақырыбына  сәйкес  келетін  сұрақтарға  жауап беріңіз.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D8E" w:rsidRDefault="00E87D8E" w:rsidP="00BA59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913" w:rsidRPr="00BA5913" w:rsidTr="00BA5913">
        <w:trPr>
          <w:trHeight w:val="2486"/>
        </w:trPr>
        <w:tc>
          <w:tcPr>
            <w:tcW w:w="10456" w:type="dxa"/>
            <w:gridSpan w:val="8"/>
          </w:tcPr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 бағамдау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таб</w:t>
            </w:r>
            <w:r w:rsidR="00E87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ысты болды (оқытуды  да, оқуды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ескеріңіз)?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 алады (оқытуды  да, оқуды да ескеріңіз)?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BA5913" w:rsidRDefault="00BA5913" w:rsidP="00E87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барысында  мен сынып  немесе жекелеген оқушылар </w:t>
            </w:r>
            <w:r w:rsidR="00E87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менің келесі сабағымды  жетілдіруге көмектесетін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білдім?</w:t>
            </w:r>
          </w:p>
        </w:tc>
      </w:tr>
    </w:tbl>
    <w:p w:rsidR="00D609D1" w:rsidRPr="00D609D1" w:rsidRDefault="00D609D1" w:rsidP="00D609D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07D" w:rsidRPr="001931EE" w:rsidRDefault="0039607D">
      <w:pPr>
        <w:rPr>
          <w:sz w:val="24"/>
          <w:szCs w:val="24"/>
          <w:lang w:val="kk-KZ"/>
        </w:rPr>
      </w:pPr>
    </w:p>
    <w:p w:rsidR="001931EE" w:rsidRPr="001931EE" w:rsidRDefault="001931EE">
      <w:pPr>
        <w:rPr>
          <w:rFonts w:ascii="Times New Roman" w:hAnsi="Times New Roman" w:cs="Times New Roman"/>
          <w:b/>
          <w:lang w:val="kk-KZ"/>
        </w:rPr>
      </w:pPr>
    </w:p>
    <w:sectPr w:rsidR="001931EE" w:rsidRPr="001931EE" w:rsidSect="00D609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3" w:rsidRDefault="00074A53" w:rsidP="00D609D1">
      <w:pPr>
        <w:spacing w:line="240" w:lineRule="auto"/>
      </w:pPr>
      <w:r>
        <w:separator/>
      </w:r>
    </w:p>
  </w:endnote>
  <w:endnote w:type="continuationSeparator" w:id="0">
    <w:p w:rsidR="00074A53" w:rsidRDefault="00074A53" w:rsidP="00D6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ypatia Sans Pro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3" w:rsidRDefault="00074A53" w:rsidP="00D609D1">
      <w:pPr>
        <w:spacing w:line="240" w:lineRule="auto"/>
      </w:pPr>
      <w:r>
        <w:separator/>
      </w:r>
    </w:p>
  </w:footnote>
  <w:footnote w:type="continuationSeparator" w:id="0">
    <w:p w:rsidR="00074A53" w:rsidRDefault="00074A53" w:rsidP="00D6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C69"/>
    <w:multiLevelType w:val="hybridMultilevel"/>
    <w:tmpl w:val="C3B0E204"/>
    <w:lvl w:ilvl="0" w:tplc="B9822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DA30E0"/>
    <w:multiLevelType w:val="hybridMultilevel"/>
    <w:tmpl w:val="49A0E972"/>
    <w:lvl w:ilvl="0" w:tplc="F36AB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C715A"/>
    <w:multiLevelType w:val="hybridMultilevel"/>
    <w:tmpl w:val="45DEB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6BA1"/>
    <w:multiLevelType w:val="hybridMultilevel"/>
    <w:tmpl w:val="C1823724"/>
    <w:lvl w:ilvl="0" w:tplc="576432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E1FB5"/>
    <w:multiLevelType w:val="hybridMultilevel"/>
    <w:tmpl w:val="753A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537"/>
    <w:multiLevelType w:val="hybridMultilevel"/>
    <w:tmpl w:val="9B6A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3FB8"/>
    <w:multiLevelType w:val="hybridMultilevel"/>
    <w:tmpl w:val="701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9D0"/>
    <w:multiLevelType w:val="hybridMultilevel"/>
    <w:tmpl w:val="BB3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27DD"/>
    <w:multiLevelType w:val="hybridMultilevel"/>
    <w:tmpl w:val="EF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0A81"/>
    <w:multiLevelType w:val="hybridMultilevel"/>
    <w:tmpl w:val="6AF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E608B"/>
    <w:multiLevelType w:val="hybridMultilevel"/>
    <w:tmpl w:val="F202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7697"/>
    <w:multiLevelType w:val="hybridMultilevel"/>
    <w:tmpl w:val="4F0CCF16"/>
    <w:lvl w:ilvl="0" w:tplc="5AA4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45EFA"/>
    <w:multiLevelType w:val="hybridMultilevel"/>
    <w:tmpl w:val="E6D6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A71"/>
    <w:multiLevelType w:val="hybridMultilevel"/>
    <w:tmpl w:val="37F4E96A"/>
    <w:lvl w:ilvl="0" w:tplc="8414685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0F45D4"/>
    <w:multiLevelType w:val="hybridMultilevel"/>
    <w:tmpl w:val="6038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7D"/>
    <w:rsid w:val="00074A53"/>
    <w:rsid w:val="001931EE"/>
    <w:rsid w:val="0039607D"/>
    <w:rsid w:val="003F07EE"/>
    <w:rsid w:val="006879A4"/>
    <w:rsid w:val="00BA5913"/>
    <w:rsid w:val="00D609D1"/>
    <w:rsid w:val="00E87D8E"/>
    <w:rsid w:val="00E965BD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0CE3"/>
  <w15:docId w15:val="{3A5EF22A-82E6-499F-856B-CF6CEF4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eastAsiaTheme="minorEastAsia"/>
      <w:lang w:eastAsia="ru-RU"/>
    </w:rPr>
  </w:style>
  <w:style w:type="character" w:customStyle="1" w:styleId="A64">
    <w:name w:val="A6+4"/>
    <w:uiPriority w:val="99"/>
    <w:rPr>
      <w:rFonts w:cs="Hypatia Sans Pro"/>
      <w:color w:val="211D1E"/>
    </w:rPr>
  </w:style>
  <w:style w:type="paragraph" w:styleId="a7">
    <w:name w:val="Balloon Text"/>
    <w:basedOn w:val="a"/>
    <w:link w:val="a8"/>
    <w:uiPriority w:val="99"/>
    <w:semiHidden/>
    <w:unhideWhenUsed/>
    <w:rsid w:val="0019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1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09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9D1"/>
  </w:style>
  <w:style w:type="paragraph" w:styleId="ab">
    <w:name w:val="footer"/>
    <w:basedOn w:val="a"/>
    <w:link w:val="ac"/>
    <w:uiPriority w:val="99"/>
    <w:unhideWhenUsed/>
    <w:rsid w:val="00D609D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ADF1-48AE-4D14-9316-9AA6D738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2017-12-18T11:47:00Z</cp:lastPrinted>
  <dcterms:created xsi:type="dcterms:W3CDTF">2018-01-12T06:06:00Z</dcterms:created>
  <dcterms:modified xsi:type="dcterms:W3CDTF">2018-01-12T06:06:00Z</dcterms:modified>
</cp:coreProperties>
</file>