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A" w:rsidRPr="00910B45" w:rsidRDefault="0063097F" w:rsidP="00910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25CDDE1" wp14:editId="0FB8CAB2">
            <wp:simplePos x="0" y="0"/>
            <wp:positionH relativeFrom="margin">
              <wp:posOffset>-1163781</wp:posOffset>
            </wp:positionH>
            <wp:positionV relativeFrom="margin">
              <wp:posOffset>5634</wp:posOffset>
            </wp:positionV>
            <wp:extent cx="2642870" cy="1965960"/>
            <wp:effectExtent l="0" t="342900" r="0" b="320040"/>
            <wp:wrapSquare wrapText="bothSides"/>
            <wp:docPr id="1" name="Рисунок 1" descr="C:\Users\apple\Desktop\20180225_19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20180225_191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1" t="24675" r="8769" b="677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2870" cy="1965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B45" w:rsidRPr="00910B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А.А. Жалдыбаева</w:t>
      </w:r>
      <w:r w:rsidR="00910B45" w:rsidRPr="00910B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br/>
      </w:r>
      <w:r w:rsidR="00910B45" w:rsidRPr="00B66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6D780A" w:rsidRPr="00B66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И</w:t>
      </w:r>
      <w:r w:rsidR="00910B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.Әбдікәрімов атындағы Қызылорда </w:t>
      </w:r>
      <w:r w:rsidR="006D780A" w:rsidRPr="00B66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агра</w:t>
      </w:r>
      <w:r w:rsidR="006D7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рлық </w:t>
      </w:r>
    </w:p>
    <w:p w:rsidR="006D780A" w:rsidRDefault="006D780A" w:rsidP="00910B4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техникалық жоғары колледж директорының </w:t>
      </w:r>
    </w:p>
    <w:p w:rsidR="006D780A" w:rsidRDefault="006D780A" w:rsidP="00910B4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66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оқу-әдістемелік бірлестік жөніндегі </w:t>
      </w:r>
    </w:p>
    <w:p w:rsidR="006D780A" w:rsidRPr="006D780A" w:rsidRDefault="006D780A" w:rsidP="00910B4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орынбасары  </w:t>
      </w:r>
      <w:r w:rsidR="00910B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br/>
      </w:r>
    </w:p>
    <w:p w:rsidR="00910B45" w:rsidRDefault="00910B45" w:rsidP="00910B4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910B45" w:rsidRDefault="00910B45" w:rsidP="00910B4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910B45" w:rsidRDefault="00910B45" w:rsidP="00910B4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910B45" w:rsidRDefault="00910B45" w:rsidP="00B6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9F7792" w:rsidRDefault="009F7792" w:rsidP="00910B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9F7792" w:rsidRDefault="009F7792" w:rsidP="00910B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B66C95" w:rsidRPr="009F7792" w:rsidRDefault="00910B45" w:rsidP="00910B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</w:pPr>
      <w:r w:rsidRPr="009F77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 xml:space="preserve">И.Әбдікәрімов атындағы </w:t>
      </w:r>
      <w:r w:rsidR="00B66C95" w:rsidRPr="009F77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Қызылорда аграрлық техникалық жоғары колледжінде Қазақстан Республикасы Білім және ғылым министрлігінің 2008 жылға 3 қазандағы № 552 бұйрығына (№572 бұйрық 2016 жылғы 23 қыркүйектегі түзетулермен) арналған негізгі іс-шаралар жоспарының 100-тармағын іске асыру мақсатындаТехникалық және кәсіптік білім беру ұйымдары оқу-әдістемелік бір</w:t>
      </w:r>
      <w:r w:rsidRPr="009F77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лестікгі құрылған болатын.</w:t>
      </w:r>
      <w:r w:rsidR="00B66C95" w:rsidRPr="009F77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 Республикалық оқу-әдістемелік бірлестік төрағасы – С.Тәуіпбаев, т.ғ.докторы, профессор</w:t>
      </w:r>
      <w:r w:rsidR="00B66C95" w:rsidRPr="009F7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="00B66C95" w:rsidRPr="009F77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Республикалық оқу-әдістемелік бірлестік жөніндегі орынбасары – А.Жалдыбаева</w:t>
      </w:r>
      <w:r w:rsidR="009F7792" w:rsidRPr="009F7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B66C95" w:rsidRPr="009F7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Колледжде оқу-әдістемелік бірлестігі 2016 жылдан бастап</w:t>
      </w:r>
      <w:r w:rsidRPr="009F7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«Байланыс, </w:t>
      </w:r>
      <w:r w:rsidR="00B66C95" w:rsidRPr="009F7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радиоэлектроника және телекоммуникация» профилі,1403000 - Ішкі санитарлық-техникалық құрылғыларды, желдеткіштерді жәнеинженерлік жүйелерді монтаждау және пайдалану (түрлері бойынша),  1114000-Дәнекерлеу ісі (түрлері бойынша), 1420000 - Жылыту, кондиционерлеу және желдету мамандықтар бойынша жұмыс жасайды. Жоғарыда аталған мамандықтар бойынша теориялық және практикалық тесттерді сараптама жұмыстары жүргізілді.</w:t>
      </w:r>
    </w:p>
    <w:p w:rsidR="00267BBB" w:rsidRPr="009F7792" w:rsidRDefault="00B66C95" w:rsidP="00910B45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Семинар – практикум   КЕАҚ «Кәсіпқор» Холдингі» ұйымдастыруымен МҚКК «И.Әбдікәрімов атындағы Қызылорда аграрлық-техникалық жоғары колледжінің» базасында  техникалық және кәсіптік білім беру (әрі қарай -ТжКБ)ұйымдарында инновациял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ық білім беру технологияларын ен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гізу және жүзеге асырудың отандық және шетелдік тәжірибелерімен алмасу және жалпылау мақсатында өткізілді.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  Семинар-практикумның жұмысына  Қазақстан Республикасы білім және ғылым министрлігінің, Қызылорда облысының білім басқармасының, КЕАҚ «Кәсіпқор»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холдингінің», 10 үздік колледждің, Қызылорда облысының ТжКББ ұйымдарының,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Қызылорда облыстық кәсіпкерлер па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латасының, Қызылорда облысының 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ауылшаруашылық басқармасының, Ы.Жахаев атындағы қазақ-күріш ғылыми-зерттеу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bookmarkStart w:id="0" w:name="_GoBack"/>
      <w:bookmarkEnd w:id="0"/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институтының өкілдері қатысты.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Семинар-практикумның мақсаты: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1.Т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ехникалық және 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кәсіптік білім беру ұйымдарында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модульді-құзыретті тә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сілде негізделген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 интеграцияланған білім беру бағдарламаларын іске асырудағы озық педагогикалық тәжірибені қорыту (бұдан әрі - ТжКБ);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2. ТжКБ ұйымдарында жаңартылған білім беру технологияларын  оқыту процесіне  енгізудіңпрактикалық тәжірибесімен  алмасу;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3. Бизнес және білімді интеграциялау негізінде Қазақстан экономикасының салаларына  кадрлар даярлауда  әлеуметтікәріптестіктің  рөлі 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Семинар қатысушыларының баяндамаларындаТжКБ ұйымдарында интеграцияланған білім беру бағдарламаларын  әзірлеудіңтәжірибелік дағдыларын  жасау; инновациялық білім беру әдістерін, тәсілде</w:t>
      </w:r>
      <w:r w:rsid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рін және технологияларын енгіз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у  жүйелеу; ТжКБ жүйесінің инженерлік-педагогикалық қызметкерлерінің кәсіби құзыреттіліктерін жетілдіру және қызмет тиімділігін арттыру мәселелері қаралды.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lastRenderedPageBreak/>
        <w:t>   Семинар- практикумның  жұмыстары 4 секцияда жүргізілді: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1)Техникалық және кәсіптік білім беру ұйымдарында интеграцияланған білім беру бағдарламаларын іске асыру процесінің өзектілігі;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2) Кадрлар даярлау үдерісінің қолданбалы бакалавриат бағдарламасына көшу механизмінің негізгі ерекшеліктері;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3) Инновациялық білім технологиялары бойынша  арнайы пәндерді ағылшын тілінде (CLIL әдістемесі, TBLT, BOPPPS)  оқыту. ТжКБ жүйесінің  арнайы пән оқытушылары үшін BOPPPS моделі бойынша сабақтыжоспарлау;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4) Аккредиттеуге дайындық шеңберінде ТжКБ ұйымдарында білім беру сапасын қамтамасыз етудің ішкі жүйесін әзірлеу. 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Қазіргі таңда, яғни 2018 жылдың маусым айынан бастап «Байланыс, радиоэлектроника және телекоммуникация</w:t>
      </w:r>
      <w:r w:rsidRPr="009F7792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kk-KZ"/>
        </w:rPr>
        <w:t>» 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профилінен «Құрылыс және коммуналдық шаруашылық» профиліне ауыстырылды, және де жаңа мамандықтар қоса берілді: 1404000 - Сумен қамтамасыздандыру және  су бұрғыш жүйелерінің тазартқыш ғимараттары,1420000 –</w:t>
      </w:r>
      <w:r w:rsidRPr="009F7792">
        <w:rPr>
          <w:rFonts w:ascii="inherit" w:hAnsi="inherit"/>
          <w:color w:val="212121"/>
          <w:sz w:val="24"/>
          <w:szCs w:val="24"/>
          <w:lang w:val="kk-KZ"/>
        </w:rPr>
        <w:t xml:space="preserve"> </w:t>
      </w:r>
      <w:r w:rsidRPr="009F7792">
        <w:rPr>
          <w:rFonts w:ascii="Times New Roman" w:hAnsi="Times New Roman" w:cs="Times New Roman"/>
          <w:color w:val="333333"/>
          <w:sz w:val="24"/>
          <w:szCs w:val="24"/>
          <w:lang w:val="kk-KZ"/>
        </w:rPr>
        <w:t>Жылыту, кондиционерлеу және желдету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,  0603000 - </w:t>
      </w:r>
      <w:r w:rsidRPr="009F7792">
        <w:rPr>
          <w:rFonts w:ascii="Times New Roman" w:hAnsi="Times New Roman" w:cs="Times New Roman"/>
          <w:color w:val="212121"/>
          <w:sz w:val="24"/>
          <w:szCs w:val="24"/>
          <w:lang w:val="kk-KZ"/>
        </w:rPr>
        <w:t>Өнеркәсіптің бұзылмайтын сынақтары бойынша бұзылмайтын сынақтар</w:t>
      </w:r>
      <w:r w:rsidRPr="009F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,   1421000 - Сумен жабдықтау және су бұру,   мамандықтар бойынша РОӘБ жұмыс жасауда. Жоғары да аталған мамандықтар бойынша үлгілік оқу жоспарлар жасалуда. </w:t>
      </w:r>
    </w:p>
    <w:p w:rsidR="0063097F" w:rsidRPr="009F7792" w:rsidRDefault="0063097F" w:rsidP="00B66C9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63097F" w:rsidRPr="009F7792" w:rsidRDefault="0063097F" w:rsidP="0063097F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63097F" w:rsidRPr="009F7792" w:rsidRDefault="0063097F" w:rsidP="0063097F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77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Принципы и перспективы </w:t>
      </w:r>
      <w:proofErr w:type="gramStart"/>
      <w:r w:rsidRPr="009F77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прикладного</w:t>
      </w:r>
      <w:proofErr w:type="gramEnd"/>
      <w:r w:rsidRPr="009F77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9F77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В 2012 году в Республике Казахстан была принята Национальная рамка квалификации, состоящая </w:t>
      </w:r>
      <w:r w:rsidRPr="009F7792">
        <w:rPr>
          <w:rFonts w:ascii="Times New Roman" w:eastAsia="Times New Roman" w:hAnsi="Times New Roman" w:cs="Times New Roman"/>
          <w:b/>
          <w:sz w:val="24"/>
          <w:szCs w:val="24"/>
        </w:rPr>
        <w:t>из 8 квалификационных уровней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3097F" w:rsidRPr="009F7792" w:rsidRDefault="0063097F" w:rsidP="0063097F">
      <w:pPr>
        <w:pStyle w:val="j11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F7792">
        <w:t>Сегодня в Казахстане система высшего образования нацелена на подготовку управленческого и инженерного состава</w:t>
      </w:r>
      <w:r w:rsidRPr="009F7792">
        <w:rPr>
          <w:rFonts w:eastAsia="PragmaticaC"/>
        </w:rPr>
        <w:t xml:space="preserve"> с 6 по 8 уровни Национальной рамки квалификаций РК (НРК)</w:t>
      </w:r>
      <w:r w:rsidRPr="009F7792">
        <w:t xml:space="preserve">. Система </w:t>
      </w:r>
      <w:proofErr w:type="spellStart"/>
      <w:r w:rsidRPr="009F7792">
        <w:t>ТиПО</w:t>
      </w:r>
      <w:proofErr w:type="spellEnd"/>
      <w:r w:rsidRPr="009F7792">
        <w:t xml:space="preserve"> ведет подготовку специалистов</w:t>
      </w:r>
      <w:r w:rsidRPr="009F7792">
        <w:rPr>
          <w:rFonts w:eastAsia="PragmaticaC"/>
        </w:rPr>
        <w:t>, соответствующих 3-4 уровням НРК</w:t>
      </w:r>
      <w:r w:rsidRPr="009F7792">
        <w:t>. При этом остается пласт высококвалифицированных специалистов между управленцами и рабочими, потребность в которых растет (5 уровень НРК).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sz w:val="24"/>
          <w:szCs w:val="24"/>
        </w:rPr>
        <w:t>Пятым уровнем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прикладной 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– управленческая деятельность </w:t>
      </w:r>
      <w:r w:rsidRPr="009F7792">
        <w:rPr>
          <w:rFonts w:ascii="Times New Roman" w:eastAsia="Times New Roman" w:hAnsi="Times New Roman" w:cs="Times New Roman"/>
          <w:b/>
          <w:sz w:val="24"/>
          <w:szCs w:val="24"/>
        </w:rPr>
        <w:t>в рамках участка технологического процесса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и стратегии деятельности предприятия, предполагающая ответственность за достижение конечного результата. </w:t>
      </w:r>
      <w:r w:rsidRPr="009F7792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анализирует ситуации, принимает решения и создает условия их реализации, контролирует деятельность командной работы.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05"/>
      <w:r w:rsidRPr="009F7792">
        <w:rPr>
          <w:rFonts w:ascii="Times New Roman" w:hAnsi="Times New Roman" w:cs="Times New Roman"/>
          <w:sz w:val="24"/>
          <w:szCs w:val="24"/>
        </w:rPr>
        <w:t xml:space="preserve">Для реализации задач по модернизации системы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ТиППО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в Закон Республики Казахстан «Об образовании» (с изменениями и дополнениями от 11 июля 2017 года № 91-</w:t>
      </w:r>
      <w:r w:rsidRPr="009F77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F7792">
        <w:rPr>
          <w:rFonts w:ascii="Times New Roman" w:hAnsi="Times New Roman" w:cs="Times New Roman"/>
          <w:sz w:val="24"/>
          <w:szCs w:val="24"/>
        </w:rPr>
        <w:t>) введены новые понятия: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«прикладной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«прикладной бакалавр» - квалификация, присуждаемая лицам, освоившим образовательные программы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79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Прикладной бакалавр: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b/>
          <w:sz w:val="24"/>
          <w:szCs w:val="24"/>
        </w:rPr>
        <w:t>-</w:t>
      </w:r>
      <w:r w:rsidRPr="009F7792">
        <w:rPr>
          <w:rFonts w:ascii="Times New Roman" w:hAnsi="Times New Roman" w:cs="Times New Roman"/>
          <w:sz w:val="24"/>
          <w:szCs w:val="24"/>
        </w:rPr>
        <w:t xml:space="preserve"> высококвалифицированный специали</w:t>
      </w:r>
      <w:proofErr w:type="gramStart"/>
      <w:r w:rsidRPr="009F7792">
        <w:rPr>
          <w:rFonts w:ascii="Times New Roman" w:hAnsi="Times New Roman" w:cs="Times New Roman"/>
          <w:sz w:val="24"/>
          <w:szCs w:val="24"/>
        </w:rPr>
        <w:t>ст с</w:t>
      </w:r>
      <w:r w:rsidRPr="009F77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7792">
        <w:rPr>
          <w:rFonts w:ascii="Times New Roman" w:hAnsi="Times New Roman" w:cs="Times New Roman"/>
          <w:b/>
          <w:sz w:val="24"/>
          <w:szCs w:val="24"/>
          <w:lang w:val="kk-KZ"/>
        </w:rPr>
        <w:t>пр</w:t>
      </w:r>
      <w:proofErr w:type="gramEnd"/>
      <w:r w:rsidRPr="009F7792">
        <w:rPr>
          <w:rFonts w:ascii="Times New Roman" w:hAnsi="Times New Roman" w:cs="Times New Roman"/>
          <w:b/>
          <w:sz w:val="24"/>
          <w:szCs w:val="24"/>
          <w:lang w:val="kk-KZ"/>
        </w:rPr>
        <w:t>икладными навыками</w:t>
      </w:r>
      <w:r w:rsidRPr="009F77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7792">
        <w:rPr>
          <w:rFonts w:ascii="Times New Roman" w:hAnsi="Times New Roman" w:cs="Times New Roman"/>
          <w:sz w:val="24"/>
          <w:szCs w:val="24"/>
        </w:rPr>
        <w:t xml:space="preserve">по нескольким квалификациям (рабочий, специалист среднего звена, прикладной бакалавр); 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b/>
          <w:sz w:val="24"/>
          <w:szCs w:val="24"/>
        </w:rPr>
        <w:t>-</w:t>
      </w:r>
      <w:r w:rsidRPr="009F7792">
        <w:rPr>
          <w:rFonts w:ascii="Times New Roman" w:hAnsi="Times New Roman" w:cs="Times New Roman"/>
          <w:sz w:val="24"/>
          <w:szCs w:val="24"/>
        </w:rPr>
        <w:t xml:space="preserve"> освоил</w:t>
      </w:r>
      <w:r w:rsidRPr="009F77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7792">
        <w:rPr>
          <w:rFonts w:ascii="Times New Roman" w:hAnsi="Times New Roman" w:cs="Times New Roman"/>
          <w:b/>
          <w:sz w:val="24"/>
          <w:szCs w:val="24"/>
          <w:lang w:val="kk-KZ"/>
        </w:rPr>
        <w:t>модульные программы обучения</w:t>
      </w:r>
      <w:r w:rsidRPr="009F7792">
        <w:rPr>
          <w:rFonts w:ascii="Times New Roman" w:hAnsi="Times New Roman" w:cs="Times New Roman"/>
          <w:sz w:val="24"/>
          <w:szCs w:val="24"/>
        </w:rPr>
        <w:t xml:space="preserve">, интегрирующие содержание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и высшего образования;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b/>
          <w:sz w:val="24"/>
          <w:szCs w:val="24"/>
        </w:rPr>
        <w:t>-</w:t>
      </w:r>
      <w:r w:rsidRPr="009F7792">
        <w:rPr>
          <w:rFonts w:ascii="Times New Roman" w:hAnsi="Times New Roman" w:cs="Times New Roman"/>
          <w:sz w:val="24"/>
          <w:szCs w:val="24"/>
        </w:rPr>
        <w:t xml:space="preserve"> обладает хорошими</w:t>
      </w:r>
      <w:r w:rsidRPr="009F77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7792">
        <w:rPr>
          <w:rFonts w:ascii="Times New Roman" w:hAnsi="Times New Roman" w:cs="Times New Roman"/>
          <w:b/>
          <w:sz w:val="24"/>
          <w:szCs w:val="24"/>
          <w:lang w:val="kk-KZ"/>
        </w:rPr>
        <w:t>теоретическими знаниями и практическими навыками</w:t>
      </w:r>
      <w:r w:rsidRPr="009F7792">
        <w:rPr>
          <w:rFonts w:ascii="Times New Roman" w:hAnsi="Times New Roman" w:cs="Times New Roman"/>
          <w:sz w:val="24"/>
          <w:szCs w:val="24"/>
        </w:rPr>
        <w:t xml:space="preserve"> в рамках конкретного вида профессиональной деятельности;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b/>
          <w:sz w:val="24"/>
          <w:szCs w:val="24"/>
        </w:rPr>
        <w:t>-</w:t>
      </w:r>
      <w:r w:rsidRPr="009F7792">
        <w:rPr>
          <w:rFonts w:ascii="Times New Roman" w:hAnsi="Times New Roman" w:cs="Times New Roman"/>
          <w:sz w:val="24"/>
          <w:szCs w:val="24"/>
        </w:rPr>
        <w:t xml:space="preserve"> имеет необходимые </w:t>
      </w:r>
      <w:r w:rsidRPr="009F7792">
        <w:rPr>
          <w:rFonts w:ascii="Times New Roman" w:hAnsi="Times New Roman" w:cs="Times New Roman"/>
          <w:b/>
          <w:sz w:val="24"/>
          <w:szCs w:val="24"/>
          <w:lang w:val="kk-KZ"/>
        </w:rPr>
        <w:t>допуски</w:t>
      </w:r>
      <w:r w:rsidRPr="009F77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7792">
        <w:rPr>
          <w:rFonts w:ascii="Times New Roman" w:hAnsi="Times New Roman" w:cs="Times New Roman"/>
          <w:sz w:val="24"/>
          <w:szCs w:val="24"/>
        </w:rPr>
        <w:t>к рабочему месту по специальности.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В соответствии со статьей 20 Закона Республики Казахстан «Об образовании» образовательные программы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образования направлены на подготовку </w:t>
      </w:r>
      <w:r w:rsidRPr="009F7792">
        <w:rPr>
          <w:rFonts w:ascii="Times New Roman" w:hAnsi="Times New Roman" w:cs="Times New Roman"/>
          <w:sz w:val="24"/>
          <w:szCs w:val="24"/>
        </w:rPr>
        <w:lastRenderedPageBreak/>
        <w:t xml:space="preserve">квалифицированных рабочих кадров, специалистов среднего звена и </w:t>
      </w:r>
      <w:r w:rsidRPr="009F7792">
        <w:rPr>
          <w:rFonts w:ascii="Times New Roman" w:hAnsi="Times New Roman" w:cs="Times New Roman"/>
          <w:b/>
          <w:sz w:val="24"/>
          <w:szCs w:val="24"/>
        </w:rPr>
        <w:t>прикладного бакалавра</w:t>
      </w:r>
      <w:r w:rsidRPr="009F7792">
        <w:rPr>
          <w:rFonts w:ascii="Times New Roman" w:hAnsi="Times New Roman" w:cs="Times New Roman"/>
          <w:sz w:val="24"/>
          <w:szCs w:val="24"/>
        </w:rPr>
        <w:t xml:space="preserve"> из числа граждан, имеющих среднее образование (общее среднее или техническое и профессиональное). 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F7792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прикладного бакалавра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464" w:type="dxa"/>
        <w:tblLook w:val="0420" w:firstRow="1" w:lastRow="0" w:firstColumn="0" w:lastColumn="0" w:noHBand="0" w:noVBand="1"/>
      </w:tblPr>
      <w:tblGrid>
        <w:gridCol w:w="4928"/>
        <w:gridCol w:w="4536"/>
      </w:tblGrid>
      <w:tr w:rsidR="0063097F" w:rsidRPr="009F7792" w:rsidTr="00353A7C">
        <w:trPr>
          <w:trHeight w:val="324"/>
        </w:trPr>
        <w:tc>
          <w:tcPr>
            <w:tcW w:w="4928" w:type="dxa"/>
            <w:hideMark/>
          </w:tcPr>
          <w:p w:rsidR="0063097F" w:rsidRPr="009F7792" w:rsidRDefault="0063097F" w:rsidP="00353A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бакалавр</w:t>
            </w:r>
          </w:p>
        </w:tc>
        <w:tc>
          <w:tcPr>
            <w:tcW w:w="4536" w:type="dxa"/>
            <w:hideMark/>
          </w:tcPr>
          <w:p w:rsidR="0063097F" w:rsidRPr="009F7792" w:rsidRDefault="0063097F" w:rsidP="00353A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Академический бакалавр</w:t>
            </w:r>
          </w:p>
        </w:tc>
      </w:tr>
      <w:tr w:rsidR="0063097F" w:rsidRPr="009F7792" w:rsidTr="00353A7C">
        <w:trPr>
          <w:trHeight w:val="285"/>
        </w:trPr>
        <w:tc>
          <w:tcPr>
            <w:tcW w:w="4928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5-му уровню НРК</w:t>
            </w:r>
          </w:p>
        </w:tc>
        <w:tc>
          <w:tcPr>
            <w:tcW w:w="4536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6-му уровню НРК</w:t>
            </w:r>
          </w:p>
        </w:tc>
      </w:tr>
      <w:tr w:rsidR="0063097F" w:rsidRPr="009F7792" w:rsidTr="00353A7C">
        <w:trPr>
          <w:trHeight w:val="290"/>
        </w:trPr>
        <w:tc>
          <w:tcPr>
            <w:tcW w:w="4928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</w:t>
            </w:r>
            <w:proofErr w:type="spellStart"/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послесреднему</w:t>
            </w:r>
            <w:proofErr w:type="spellEnd"/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образованию</w:t>
            </w:r>
          </w:p>
        </w:tc>
        <w:tc>
          <w:tcPr>
            <w:tcW w:w="4536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высшему образованию</w:t>
            </w:r>
          </w:p>
        </w:tc>
      </w:tr>
      <w:tr w:rsidR="0063097F" w:rsidRPr="009F7792" w:rsidTr="00353A7C">
        <w:trPr>
          <w:trHeight w:val="256"/>
        </w:trPr>
        <w:tc>
          <w:tcPr>
            <w:tcW w:w="4928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ведется в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высших колледжах</w:t>
            </w:r>
          </w:p>
        </w:tc>
        <w:tc>
          <w:tcPr>
            <w:tcW w:w="4536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ведется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университетах</w:t>
            </w:r>
          </w:p>
        </w:tc>
      </w:tr>
      <w:tr w:rsidR="0063097F" w:rsidRPr="009F7792" w:rsidTr="00353A7C">
        <w:trPr>
          <w:trHeight w:val="584"/>
        </w:trPr>
        <w:tc>
          <w:tcPr>
            <w:tcW w:w="4928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Цель – подготовка востребованных кадров для рынка труда (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короткий цикл обучения</w:t>
            </w: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Цель – подготовка кадров для дальнейшего продолжения обучения в магистратуре и докторантуре (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длинный цикл обучения</w:t>
            </w: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097F" w:rsidRPr="009F7792" w:rsidTr="00353A7C">
        <w:trPr>
          <w:trHeight w:val="584"/>
        </w:trPr>
        <w:tc>
          <w:tcPr>
            <w:tcW w:w="4928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Предусматривает подготовку в рамках конкретного вида профессиональной деятельности по определенным квалификациям (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узкий профиль подготовки</w:t>
            </w: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Предусматривает подготовку в целом по соответствующей специальности (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широкий профиль подготовки</w:t>
            </w: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097F" w:rsidRPr="009F7792" w:rsidTr="00353A7C">
        <w:trPr>
          <w:trHeight w:val="584"/>
        </w:trPr>
        <w:tc>
          <w:tcPr>
            <w:tcW w:w="4928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преимущественно ориентирована на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</w:t>
            </w:r>
            <w:proofErr w:type="gramStart"/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</w:t>
            </w: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квалификациям, стажировку на производстве</w:t>
            </w:r>
          </w:p>
        </w:tc>
        <w:tc>
          <w:tcPr>
            <w:tcW w:w="4536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преимущественно ориентирована на углубленное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теоретическое </w:t>
            </w:r>
            <w:proofErr w:type="gramStart"/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</w:t>
            </w: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proofErr w:type="gramEnd"/>
          </w:p>
        </w:tc>
      </w:tr>
      <w:tr w:rsidR="0063097F" w:rsidRPr="009F7792" w:rsidTr="00353A7C">
        <w:trPr>
          <w:trHeight w:val="584"/>
        </w:trPr>
        <w:tc>
          <w:tcPr>
            <w:tcW w:w="4928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имеет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несколько родственных квалификаций</w:t>
            </w: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>: 1-2 рабочие, специалиста среднего звена и прикладного бакалавра</w:t>
            </w:r>
          </w:p>
        </w:tc>
        <w:tc>
          <w:tcPr>
            <w:tcW w:w="4536" w:type="dxa"/>
            <w:hideMark/>
          </w:tcPr>
          <w:p w:rsidR="0063097F" w:rsidRPr="009F7792" w:rsidRDefault="0063097F" w:rsidP="0035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имеет </w:t>
            </w:r>
            <w:r w:rsidRPr="009F7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академическую степень</w:t>
            </w:r>
          </w:p>
        </w:tc>
      </w:tr>
    </w:tbl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7792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proofErr w:type="spellStart"/>
      <w:r w:rsidRPr="009F7792">
        <w:rPr>
          <w:rFonts w:ascii="Times New Roman" w:hAnsi="Times New Roman" w:cs="Times New Roman"/>
          <w:b/>
          <w:sz w:val="24"/>
          <w:szCs w:val="24"/>
        </w:rPr>
        <w:t>послесреднего</w:t>
      </w:r>
      <w:proofErr w:type="spellEnd"/>
      <w:r w:rsidRPr="009F7792">
        <w:rPr>
          <w:rFonts w:ascii="Times New Roman" w:hAnsi="Times New Roman" w:cs="Times New Roman"/>
          <w:b/>
          <w:sz w:val="24"/>
          <w:szCs w:val="24"/>
        </w:rPr>
        <w:t xml:space="preserve"> образования (из проекта ГОСО):</w:t>
      </w:r>
      <w:bookmarkEnd w:id="1"/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1) формирование компетенций, необходимых для получения конкретной квалификации и повышения квалификационного уровня;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2) реализация непрерывности и преемственности развития квалификационных уровней от низшего к </w:t>
      </w:r>
      <w:proofErr w:type="gramStart"/>
      <w:r w:rsidRPr="009F7792">
        <w:rPr>
          <w:rFonts w:ascii="Times New Roman" w:hAnsi="Times New Roman" w:cs="Times New Roman"/>
          <w:sz w:val="24"/>
          <w:szCs w:val="24"/>
        </w:rPr>
        <w:t>высшему</w:t>
      </w:r>
      <w:proofErr w:type="gramEnd"/>
      <w:r w:rsidRPr="009F7792">
        <w:rPr>
          <w:rFonts w:ascii="Times New Roman" w:hAnsi="Times New Roman" w:cs="Times New Roman"/>
          <w:sz w:val="24"/>
          <w:szCs w:val="24"/>
        </w:rPr>
        <w:t>;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3) овладение обучающимися базовыми компетенциями, соответствующими уровню квалификации специалиста, формируемыми в ходе целостного учебно-воспитательного процесса;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4) овладение обучающимися профессиональными компетенциями, соответствующими основным видам профессиональной деятельности.</w:t>
      </w:r>
      <w:bookmarkStart w:id="2" w:name="z306"/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7792">
        <w:rPr>
          <w:rFonts w:ascii="Times New Roman" w:hAnsi="Times New Roman" w:cs="Times New Roman"/>
          <w:b/>
          <w:sz w:val="24"/>
          <w:szCs w:val="24"/>
        </w:rPr>
        <w:t xml:space="preserve">Ценности </w:t>
      </w:r>
      <w:proofErr w:type="spellStart"/>
      <w:r w:rsidRPr="009F7792">
        <w:rPr>
          <w:rFonts w:ascii="Times New Roman" w:hAnsi="Times New Roman" w:cs="Times New Roman"/>
          <w:b/>
          <w:sz w:val="24"/>
          <w:szCs w:val="24"/>
        </w:rPr>
        <w:t>послесреднего</w:t>
      </w:r>
      <w:proofErr w:type="spellEnd"/>
      <w:r w:rsidRPr="009F7792">
        <w:rPr>
          <w:rFonts w:ascii="Times New Roman" w:hAnsi="Times New Roman" w:cs="Times New Roman"/>
          <w:b/>
          <w:sz w:val="24"/>
          <w:szCs w:val="24"/>
        </w:rPr>
        <w:t xml:space="preserve"> образования (из проекта ГОСО):</w:t>
      </w:r>
      <w:bookmarkEnd w:id="2"/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1) подготовка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специалистов, обладающих базовыми и профессиональными компетенциями в рамках конкретного вида деятельности;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2) соответствие уровня компетентности специалиста требованиям рынка труда и  выполнению профессиональных задач;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3) построение индивидуальной траектории обучения в соответствии с  запросами обучающихся и работодателей;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4) сокращение срока адаптации выпускников к трудовой деятельности.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</w:t>
      </w:r>
      <w:proofErr w:type="gramStart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прикладного</w:t>
      </w:r>
      <w:proofErr w:type="gramEnd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3097F" w:rsidRPr="009F7792" w:rsidRDefault="0063097F" w:rsidP="0063097F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практикоориентированный</w:t>
      </w:r>
      <w:proofErr w:type="spellEnd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 обучения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студентов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возможностью оценивать и совершенствовать уровень своих знаний, навыков и компетенций на рабочих местах в условиях реального производства;</w:t>
      </w:r>
    </w:p>
    <w:p w:rsidR="0063097F" w:rsidRPr="009F7792" w:rsidRDefault="0063097F" w:rsidP="0063097F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востребованных кадров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– соответствие получаемых квалификаций требованиям рынка труда и повышение возможностей трудоустройства выпускников;</w:t>
      </w:r>
    </w:p>
    <w:p w:rsidR="0063097F" w:rsidRPr="009F7792" w:rsidRDefault="0063097F" w:rsidP="0063097F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модульная структура программы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– основой прикладного 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служат интегрированные образовательные программы 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и высшего образования, ориентированные на получение соответствующей теоретической подготовки и овладение практическими умениями работы на производстве;</w:t>
      </w:r>
    </w:p>
    <w:p w:rsidR="0063097F" w:rsidRPr="009F7792" w:rsidRDefault="0063097F" w:rsidP="0063097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кредитной технологии обучения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– накопление и трансфер результатов обучения между уровнями профессионального образования (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послесреднее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и высшее образование)</w:t>
      </w:r>
    </w:p>
    <w:p w:rsidR="0063097F" w:rsidRPr="009F7792" w:rsidRDefault="0063097F" w:rsidP="0063097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обязательное социальное партнерство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– разработка и внедрение модульных программ, ориентированных на результаты обучения, основывается на сотрудничестве между колледжами, вузами и предприятиями </w:t>
      </w:r>
    </w:p>
    <w:p w:rsidR="0063097F" w:rsidRPr="009F7792" w:rsidRDefault="0063097F" w:rsidP="0063097F">
      <w:pPr>
        <w:widowControl w:val="0"/>
        <w:tabs>
          <w:tab w:val="left" w:pos="567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3097F" w:rsidRPr="009F7792" w:rsidRDefault="0063097F" w:rsidP="0063097F">
      <w:pPr>
        <w:widowControl w:val="0"/>
        <w:tabs>
          <w:tab w:val="left" w:pos="567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Преимущества прикладного </w:t>
      </w:r>
      <w:proofErr w:type="spellStart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5"/>
        <w:tblW w:w="9464" w:type="dxa"/>
        <w:tblLayout w:type="fixed"/>
        <w:tblLook w:val="0420" w:firstRow="1" w:lastRow="0" w:firstColumn="0" w:lastColumn="0" w:noHBand="0" w:noVBand="1"/>
      </w:tblPr>
      <w:tblGrid>
        <w:gridCol w:w="2943"/>
        <w:gridCol w:w="3686"/>
        <w:gridCol w:w="2835"/>
      </w:tblGrid>
      <w:tr w:rsidR="0063097F" w:rsidRPr="009F7792" w:rsidTr="00353A7C">
        <w:trPr>
          <w:trHeight w:val="584"/>
        </w:trPr>
        <w:tc>
          <w:tcPr>
            <w:tcW w:w="2943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работодателей</w:t>
            </w:r>
          </w:p>
        </w:tc>
        <w:tc>
          <w:tcPr>
            <w:tcW w:w="3686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учебных заведений</w:t>
            </w:r>
          </w:p>
        </w:tc>
        <w:tc>
          <w:tcPr>
            <w:tcW w:w="2835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студента</w:t>
            </w:r>
          </w:p>
        </w:tc>
      </w:tr>
      <w:tr w:rsidR="0063097F" w:rsidRPr="009F7792" w:rsidTr="00353A7C">
        <w:trPr>
          <w:trHeight w:val="584"/>
        </w:trPr>
        <w:tc>
          <w:tcPr>
            <w:tcW w:w="2943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готовый специали</w:t>
            </w:r>
            <w:proofErr w:type="gramStart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пр</w:t>
            </w:r>
            <w:proofErr w:type="gramEnd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икладными квалификациями;</w:t>
            </w:r>
          </w:p>
          <w:p w:rsidR="0063097F" w:rsidRPr="009F7792" w:rsidRDefault="0063097F" w:rsidP="00353A7C">
            <w:pPr>
              <w:widowControl w:val="0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срока адаптации выпускников к реальному производственному процессу</w:t>
            </w:r>
          </w:p>
        </w:tc>
        <w:tc>
          <w:tcPr>
            <w:tcW w:w="3686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престижа </w:t>
            </w:r>
            <w:proofErr w:type="gramStart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специальностям</w:t>
            </w:r>
            <w:proofErr w:type="gramEnd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и профессионального, </w:t>
            </w:r>
            <w:proofErr w:type="spellStart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63097F" w:rsidRPr="009F7792" w:rsidRDefault="0063097F" w:rsidP="00353A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сохранение </w:t>
            </w:r>
            <w:proofErr w:type="spellStart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практикоориентированности</w:t>
            </w:r>
            <w:proofErr w:type="spellEnd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при реализации программ прикладного </w:t>
            </w:r>
            <w:proofErr w:type="spellStart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бакалавритата</w:t>
            </w:r>
            <w:proofErr w:type="spellEnd"/>
          </w:p>
        </w:tc>
        <w:tc>
          <w:tcPr>
            <w:tcW w:w="2835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за короткий цикл обучения получить востребованную на рынке труда специальность;</w:t>
            </w:r>
          </w:p>
          <w:p w:rsidR="0063097F" w:rsidRPr="009F7792" w:rsidRDefault="0063097F" w:rsidP="00353A7C">
            <w:pPr>
              <w:widowControl w:val="0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расширение возможности трудоустройства согласно </w:t>
            </w:r>
            <w:proofErr w:type="gramStart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полученным</w:t>
            </w:r>
            <w:proofErr w:type="gramEnd"/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квалификациями</w:t>
            </w:r>
          </w:p>
        </w:tc>
      </w:tr>
    </w:tbl>
    <w:p w:rsidR="0063097F" w:rsidRPr="009F7792" w:rsidRDefault="0063097F" w:rsidP="0063097F">
      <w:pPr>
        <w:widowControl w:val="0"/>
        <w:tabs>
          <w:tab w:val="left" w:pos="567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33210A" wp14:editId="49874730">
            <wp:simplePos x="0" y="0"/>
            <wp:positionH relativeFrom="column">
              <wp:posOffset>-3810</wp:posOffset>
            </wp:positionH>
            <wp:positionV relativeFrom="paragraph">
              <wp:posOffset>509270</wp:posOffset>
            </wp:positionV>
            <wp:extent cx="5943600" cy="3009265"/>
            <wp:effectExtent l="0" t="0" r="0" b="635"/>
            <wp:wrapTight wrapText="bothSides">
              <wp:wrapPolygon edited="0">
                <wp:start x="0" y="0"/>
                <wp:lineTo x="0" y="21468"/>
                <wp:lineTo x="21531" y="21468"/>
                <wp:lineTo x="2153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3"/>
                    <a:stretch/>
                  </pic:blipFill>
                  <pic:spPr bwMode="auto">
                    <a:xfrm>
                      <a:off x="0" y="0"/>
                      <a:ext cx="5943600" cy="300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F779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разработки и внедрения образовательных программ прикладного </w:t>
      </w:r>
      <w:proofErr w:type="spellStart"/>
      <w:r w:rsidRPr="009F7792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9F77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3097F" w:rsidRPr="009F7792" w:rsidRDefault="0063097F" w:rsidP="0063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НАО «Холдинг «</w:t>
      </w:r>
      <w:r w:rsidRPr="009F7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Кәсі</w:t>
      </w:r>
      <w:proofErr w:type="gramStart"/>
      <w:r w:rsidRPr="009F7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gramEnd"/>
      <w:r w:rsidRPr="009F7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</w:t>
      </w:r>
      <w:r w:rsidRPr="009F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создана методика разработки и формат образовательной программы прикладного 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апробации методики и формата разработан проект образовательной программы прикладного 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«Вычислительная техника и программное обеспечение» с учетом интеграции уровней образования по родственным квалификациям. </w:t>
      </w:r>
      <w:r w:rsidRPr="009F7792">
        <w:rPr>
          <w:rFonts w:ascii="Times New Roman" w:hAnsi="Times New Roman" w:cs="Times New Roman"/>
          <w:sz w:val="24"/>
          <w:szCs w:val="24"/>
        </w:rPr>
        <w:t xml:space="preserve">В 4 колледжах данная программа внедрена в режиме эксперимента. </w:t>
      </w:r>
      <w:r w:rsidRPr="009F7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 «Холдинг «</w:t>
      </w:r>
      <w:r w:rsidRPr="009F7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Кәсі</w:t>
      </w:r>
      <w:proofErr w:type="gramStart"/>
      <w:r w:rsidRPr="009F7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gramEnd"/>
      <w:r w:rsidRPr="009F7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</w:t>
      </w:r>
      <w:r w:rsidRPr="009F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F7792">
        <w:rPr>
          <w:rFonts w:ascii="Times New Roman" w:hAnsi="Times New Roman" w:cs="Times New Roman"/>
          <w:sz w:val="24"/>
          <w:szCs w:val="24"/>
        </w:rPr>
        <w:t xml:space="preserve"> оказывает методическую помощь колледжам и ведет сопровождение внедрения образовательных программ прикладного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792">
        <w:rPr>
          <w:rFonts w:ascii="Times New Roman" w:hAnsi="Times New Roman" w:cs="Times New Roman"/>
          <w:bCs/>
          <w:sz w:val="24"/>
          <w:szCs w:val="24"/>
        </w:rPr>
        <w:t xml:space="preserve">В 2018 году будут разработаны 15 новых типовых программ с участием работодателей и педагогов колледжей. Программы прикладного </w:t>
      </w:r>
      <w:proofErr w:type="spellStart"/>
      <w:r w:rsidRPr="009F7792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9F7792">
        <w:rPr>
          <w:rFonts w:ascii="Times New Roman" w:hAnsi="Times New Roman" w:cs="Times New Roman"/>
          <w:bCs/>
          <w:sz w:val="24"/>
          <w:szCs w:val="24"/>
        </w:rPr>
        <w:t xml:space="preserve"> призваны решить задачи формирования и внедрения новых видов профессиональных образовательных программ. Они ориентированы на освоение современных производственных технологий, новых форм и методов организации труда и обеспечивают подготовку младших инженеров в соответствии с потребностями инновационного развития экономики.</w:t>
      </w:r>
      <w:r w:rsidRPr="009F7792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разработки типовых учебных планов и программ по </w:t>
      </w:r>
      <w:proofErr w:type="gramStart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прикладному</w:t>
      </w:r>
      <w:proofErr w:type="gramEnd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бакалавриату</w:t>
      </w:r>
      <w:proofErr w:type="spellEnd"/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1)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Учитывается интеграция уровней образования по родственным квалификациям</w:t>
      </w:r>
      <w:r w:rsidRPr="009F7792">
        <w:rPr>
          <w:rFonts w:ascii="Times New Roman" w:eastAsia="Times New Roman" w:hAnsi="Times New Roman" w:cs="Times New Roman"/>
          <w:sz w:val="24"/>
          <w:szCs w:val="24"/>
          <w:lang w:val="kk-KZ"/>
        </w:rPr>
        <w:t>, которая предусматривает:</w:t>
      </w:r>
    </w:p>
    <w:p w:rsidR="0063097F" w:rsidRPr="009F7792" w:rsidRDefault="0063097F" w:rsidP="0063097F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>освоение программы нескольких родственных рабочих квалификации;</w:t>
      </w:r>
    </w:p>
    <w:p w:rsidR="0063097F" w:rsidRPr="009F7792" w:rsidRDefault="0063097F" w:rsidP="0063097F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>освоение программы специалиста среднего звена;</w:t>
      </w:r>
    </w:p>
    <w:p w:rsidR="0063097F" w:rsidRPr="009F7792" w:rsidRDefault="0063097F" w:rsidP="0063097F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>присвоение уровня квалификации прикладного бакалавра.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2) Требования к уровням подготовки обучающихся определяются в виде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 базовых и профессиональных компетенций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, что означает переход от «предметно-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знаниевого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подхода» к «модульно-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компетентностному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подходу» обучения, когда акцент с содержания (</w:t>
      </w:r>
      <w:r w:rsidRPr="009F7792">
        <w:rPr>
          <w:rFonts w:ascii="Times New Roman" w:eastAsia="Times New Roman" w:hAnsi="Times New Roman" w:cs="Times New Roman"/>
          <w:i/>
          <w:iCs/>
          <w:sz w:val="24"/>
          <w:szCs w:val="24"/>
        </w:rPr>
        <w:t>что преподают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) переносится на результат (</w:t>
      </w:r>
      <w:r w:rsidRPr="009F7792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какими компетенциями овладеет студент, что он будет знать и готов делать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3) Содержание образовательных программ предусматривает изучение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модульных программ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кредитной технологии обучения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>4) Содержание каждого модуля описывается в виде «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обучения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» и «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Критериев оценки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», что означает переход от «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 обучения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» к «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результату обучения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792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 </w:t>
      </w:r>
      <w:proofErr w:type="spellStart"/>
      <w:r w:rsidRPr="009F7792">
        <w:rPr>
          <w:rFonts w:ascii="Times New Roman" w:hAnsi="Times New Roman" w:cs="Times New Roman"/>
          <w:b/>
          <w:sz w:val="24"/>
          <w:szCs w:val="24"/>
        </w:rPr>
        <w:t>послесреднего</w:t>
      </w:r>
      <w:proofErr w:type="spellEnd"/>
      <w:r w:rsidRPr="009F7792">
        <w:rPr>
          <w:rFonts w:ascii="Times New Roman" w:hAnsi="Times New Roman" w:cs="Times New Roman"/>
          <w:b/>
          <w:sz w:val="24"/>
          <w:szCs w:val="24"/>
        </w:rPr>
        <w:t xml:space="preserve"> образования содержит:</w:t>
      </w:r>
    </w:p>
    <w:p w:rsidR="0063097F" w:rsidRPr="009F7792" w:rsidRDefault="0063097F" w:rsidP="0063097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1)</w:t>
      </w:r>
      <w:r w:rsidRPr="009F7792">
        <w:rPr>
          <w:sz w:val="24"/>
          <w:szCs w:val="24"/>
        </w:rPr>
        <w:t xml:space="preserve"> </w:t>
      </w:r>
      <w:r w:rsidRPr="009F7792">
        <w:rPr>
          <w:rFonts w:ascii="Times New Roman" w:hAnsi="Times New Roman" w:cs="Times New Roman"/>
          <w:sz w:val="24"/>
          <w:szCs w:val="24"/>
        </w:rPr>
        <w:t>освоение базовых и профессиональных модулей;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2) выполнение лабораторно-практических работ по базовым и профессиональным  модулям;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3) прохождение производственного обучения и профессиональной практики;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4) выполнение курсового и дипломного проектирования (работы);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5) прохождение промежуточной и итоговой аттестации.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Базовые и профессиональные модули включают  модули обязательного компонента и компонента по выбору. </w:t>
      </w:r>
      <w:bookmarkStart w:id="3" w:name="z356"/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Перечень  модулей обязательного компонента определяется типовым учебным планом или моделью учебного плана настоящего стандарта.</w:t>
      </w:r>
      <w:bookmarkStart w:id="4" w:name="z357"/>
      <w:bookmarkEnd w:id="3"/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Перечень  модулей компонента по выбору определяется организацией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образования самостоятельно.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Объем обязательного компонента базовых и профессиональных   модулей составляет не менее 70% от общего объема времени, отведенного на их изучение. 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Объем компонента по выбору  базовых и профессиональных   модулей составляет не более 30% и дает возможность: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1)  расширения  основных видов деятельности, к которым должен быть готов выпускник, освоивший образовательную программу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792">
        <w:rPr>
          <w:rFonts w:ascii="Times New Roman" w:hAnsi="Times New Roman" w:cs="Times New Roman"/>
          <w:sz w:val="24"/>
          <w:szCs w:val="24"/>
        </w:rPr>
        <w:lastRenderedPageBreak/>
        <w:t>2) углубления подготовки обучающегося, определяемой содержанием обязательного компонента;</w:t>
      </w:r>
      <w:proofErr w:type="gramEnd"/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3)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 и возможности продолжения  на следующем уровне образование по соответствующей специальности.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Компонент по выбору учитывает специфику социально-экономического развития конкретного региона и потребности рынка труда, а также индивидуальные интересы самого обучающегося.</w:t>
      </w:r>
      <w:bookmarkEnd w:id="4"/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 xml:space="preserve">Компонент по выбору формируется по предложениям работодателей и партнеров организации </w:t>
      </w:r>
      <w:proofErr w:type="spellStart"/>
      <w:r w:rsidRPr="009F77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9F7792">
        <w:rPr>
          <w:rFonts w:ascii="Times New Roman" w:hAnsi="Times New Roman" w:cs="Times New Roman"/>
          <w:sz w:val="24"/>
          <w:szCs w:val="24"/>
        </w:rPr>
        <w:t xml:space="preserve"> образования, предметно-цикловых комиссий.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Базовые модули включают содержание общегуманитарных и социально-экономических дисциплин.</w:t>
      </w:r>
    </w:p>
    <w:p w:rsidR="0063097F" w:rsidRPr="009F7792" w:rsidRDefault="0063097F" w:rsidP="0063097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F7792">
        <w:rPr>
          <w:rFonts w:ascii="Times New Roman" w:hAnsi="Times New Roman" w:cs="Times New Roman"/>
          <w:sz w:val="24"/>
          <w:szCs w:val="24"/>
        </w:rPr>
        <w:t>Профессиональные модули включают содержание общепрофессиональных, специальных дисциплин, производственного обучения и профессиональной практики.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 расчета кредитной технологии обучения 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ГОСО: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учебного времени обязательного обучения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 недель в год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(1440 часов при 36 часовой недельной нагрузки), 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ab/>
        <w:t>Факультативы (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4 часа в неделю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) и консультации (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не более 100 часов в год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оплачиваемого учебного времени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(с учетом факультативов и консультаций): </w:t>
      </w:r>
    </w:p>
    <w:tbl>
      <w:tblPr>
        <w:tblStyle w:val="a5"/>
        <w:tblW w:w="7060" w:type="dxa"/>
        <w:jc w:val="center"/>
        <w:tblLook w:val="0420" w:firstRow="1" w:lastRow="0" w:firstColumn="0" w:lastColumn="0" w:noHBand="0" w:noVBand="1"/>
      </w:tblPr>
      <w:tblGrid>
        <w:gridCol w:w="2352"/>
        <w:gridCol w:w="2353"/>
        <w:gridCol w:w="2355"/>
      </w:tblGrid>
      <w:tr w:rsidR="0063097F" w:rsidRPr="009F7792" w:rsidTr="00353A7C">
        <w:trPr>
          <w:trHeight w:val="423"/>
          <w:jc w:val="center"/>
        </w:trPr>
        <w:tc>
          <w:tcPr>
            <w:tcW w:w="2360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мес.</w:t>
            </w:r>
          </w:p>
        </w:tc>
        <w:tc>
          <w:tcPr>
            <w:tcW w:w="2360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г.10 мес.</w:t>
            </w:r>
          </w:p>
        </w:tc>
        <w:tc>
          <w:tcPr>
            <w:tcW w:w="2360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2г.10мес.</w:t>
            </w:r>
          </w:p>
        </w:tc>
      </w:tr>
      <w:tr w:rsidR="0063097F" w:rsidRPr="009F7792" w:rsidTr="00353A7C">
        <w:trPr>
          <w:trHeight w:val="273"/>
          <w:jc w:val="center"/>
        </w:trPr>
        <w:tc>
          <w:tcPr>
            <w:tcW w:w="2360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1650 ч.</w:t>
            </w:r>
          </w:p>
        </w:tc>
        <w:tc>
          <w:tcPr>
            <w:tcW w:w="2360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3300 ч.</w:t>
            </w:r>
          </w:p>
        </w:tc>
        <w:tc>
          <w:tcPr>
            <w:tcW w:w="2360" w:type="dxa"/>
            <w:hideMark/>
          </w:tcPr>
          <w:p w:rsidR="0063097F" w:rsidRPr="009F7792" w:rsidRDefault="0063097F" w:rsidP="00353A7C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92">
              <w:rPr>
                <w:rFonts w:ascii="Times New Roman" w:eastAsia="Times New Roman" w:hAnsi="Times New Roman" w:cs="Times New Roman"/>
                <w:sz w:val="24"/>
                <w:szCs w:val="24"/>
              </w:rPr>
              <w:t>4950 ч.</w:t>
            </w:r>
          </w:p>
        </w:tc>
      </w:tr>
    </w:tbl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всех видов практик (учебная, производственная и преддипломная) и производственного обучения (не менее 10 недель) составляет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менее 40 % 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от общего объема учебного времени, 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времени на итоговую аттестацию составляет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2 недели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Согласно приказа №152 «Правила организации учебного процесса </w:t>
      </w:r>
      <w:proofErr w:type="gramStart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КТО»</w:t>
      </w:r>
    </w:p>
    <w:p w:rsidR="0063097F" w:rsidRPr="009F7792" w:rsidRDefault="0063097F" w:rsidP="0063097F">
      <w:pPr>
        <w:pStyle w:val="a6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кредит равен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30 академическим часам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3097F" w:rsidRPr="009F7792" w:rsidRDefault="0063097F" w:rsidP="0063097F">
      <w:pPr>
        <w:pStyle w:val="a6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академический час равен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50 минутам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1 год = обязательное обучение (40 недель Х 36 часов=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48/1440 часов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) + факультативы (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4/120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) + консультации (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3/90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>) + СРОС (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12/360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67/2010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tab/>
        <w:t xml:space="preserve">Из них оплачивается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55/1650</w:t>
      </w:r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и не оплачивается </w:t>
      </w:r>
      <w:r w:rsidRPr="009F7792">
        <w:rPr>
          <w:rFonts w:ascii="Times New Roman" w:eastAsia="Times New Roman" w:hAnsi="Times New Roman" w:cs="Times New Roman"/>
          <w:b/>
          <w:bCs/>
          <w:sz w:val="24"/>
          <w:szCs w:val="24"/>
        </w:rPr>
        <w:t>12/360</w:t>
      </w:r>
    </w:p>
    <w:p w:rsidR="0063097F" w:rsidRPr="009F7792" w:rsidRDefault="0063097F" w:rsidP="0063097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2CC02" wp14:editId="7D19652E">
            <wp:extent cx="5940425" cy="2944768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097F" w:rsidRPr="009F7792" w:rsidRDefault="0063097F" w:rsidP="0063097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9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В результате внедрения прикладного 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ожидается повышение качества и эффективности профессионального образования и взаимодействие организаций образования и работодателей. При разработке и реализации образовательных программ прикладного </w:t>
      </w:r>
      <w:proofErr w:type="spellStart"/>
      <w:r w:rsidRPr="009F7792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9F7792">
        <w:rPr>
          <w:rFonts w:ascii="Times New Roman" w:eastAsia="Times New Roman" w:hAnsi="Times New Roman" w:cs="Times New Roman"/>
          <w:sz w:val="24"/>
          <w:szCs w:val="24"/>
        </w:rPr>
        <w:t xml:space="preserve"> ВУЗы, колледжи и работодатели будут работать совместно, учитывая требования и интересы каждой из сторон. Симбиоз хорошей практической и теоретической подготовки даст положительный результат, который, в конечном счете, будет оценен работодателями. </w:t>
      </w:r>
    </w:p>
    <w:p w:rsidR="0063097F" w:rsidRPr="009F7792" w:rsidRDefault="0063097F" w:rsidP="0063097F">
      <w:pPr>
        <w:spacing w:after="0" w:line="264" w:lineRule="auto"/>
        <w:ind w:left="354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sectPr w:rsidR="0063097F" w:rsidRPr="009F7792" w:rsidSect="0050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35D"/>
    <w:multiLevelType w:val="hybridMultilevel"/>
    <w:tmpl w:val="2D800746"/>
    <w:lvl w:ilvl="0" w:tplc="45E60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2A46E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AA7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860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8B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AB3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654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6C0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E5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E2696E"/>
    <w:multiLevelType w:val="hybridMultilevel"/>
    <w:tmpl w:val="2260113C"/>
    <w:lvl w:ilvl="0" w:tplc="ACB88872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90A17C4"/>
    <w:multiLevelType w:val="hybridMultilevel"/>
    <w:tmpl w:val="D79AD13E"/>
    <w:lvl w:ilvl="0" w:tplc="E90C1C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456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663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2DD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AEB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07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C81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A5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6EF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E693B"/>
    <w:multiLevelType w:val="hybridMultilevel"/>
    <w:tmpl w:val="2DF8DDB0"/>
    <w:lvl w:ilvl="0" w:tplc="FC5C0682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C95"/>
    <w:rsid w:val="000C1D7A"/>
    <w:rsid w:val="00107DCC"/>
    <w:rsid w:val="00131EB8"/>
    <w:rsid w:val="0034692B"/>
    <w:rsid w:val="00506942"/>
    <w:rsid w:val="0063097F"/>
    <w:rsid w:val="006D780A"/>
    <w:rsid w:val="00910B45"/>
    <w:rsid w:val="009F7792"/>
    <w:rsid w:val="00B32AFB"/>
    <w:rsid w:val="00B66C95"/>
    <w:rsid w:val="00D43918"/>
    <w:rsid w:val="00D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42"/>
  </w:style>
  <w:style w:type="paragraph" w:styleId="5">
    <w:name w:val="heading 5"/>
    <w:basedOn w:val="a"/>
    <w:link w:val="50"/>
    <w:uiPriority w:val="9"/>
    <w:qFormat/>
    <w:rsid w:val="00B66C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66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66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6C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97F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63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30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0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B05469-8926-482A-8C53-A8BB13CE01F3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B05A1CB-9EA4-401D-BEAE-A0C2461B162A}">
      <dgm:prSet phldrT="[Текст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ru-RU" sz="14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Общий объем </a:t>
          </a:r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учебного времени  - </a:t>
          </a:r>
          <a:r>
            <a:rPr lang="ru-RU" sz="14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67/2010</a:t>
          </a:r>
          <a:endParaRPr lang="ru-RU" sz="1400" b="1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85BDC93-9922-4843-B794-B1C49EF43E2D}" type="parTrans" cxnId="{5A1D0AF9-A61A-4E19-85F0-6F667742D863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3090B4F-BD73-4456-9103-C5249DDA3D00}" type="sibTrans" cxnId="{5A1D0AF9-A61A-4E19-85F0-6F667742D863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F5C1986-99E2-4A78-AC44-2BCE5702CB35}">
      <dgm:prSet phldrT="[Текст]" custT="1"/>
      <dgm:spPr/>
      <dgm:t>
        <a:bodyPr/>
        <a:lstStyle/>
        <a:p>
          <a:r>
            <a:rPr lang="ru-RU" sz="16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СРОС (12/360)</a:t>
          </a:r>
        </a:p>
      </dgm:t>
    </dgm:pt>
    <dgm:pt modelId="{BD1333C0-1AE0-4A55-ABB6-A42F37961F7D}" type="parTrans" cxnId="{D6EE7A1A-A8DC-4FC8-B177-233E22D6D89E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0FF09A2-B2AA-4704-A082-12E8A3A600EA}" type="sibTrans" cxnId="{D6EE7A1A-A8DC-4FC8-B177-233E22D6D89E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783A47B-BC5B-487B-9BFF-3C4605D9AA2C}">
      <dgm:prSet phldrT="[Текст]" custT="1"/>
      <dgm:spPr/>
      <dgm:t>
        <a:bodyPr/>
        <a:lstStyle/>
        <a:p>
          <a:r>
            <a:rPr lang="ru-RU" sz="14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А+ СРОП</a:t>
          </a:r>
        </a:p>
        <a:p>
          <a:r>
            <a:rPr lang="ru-RU" sz="14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(55/1650)</a:t>
          </a:r>
        </a:p>
      </dgm:t>
    </dgm:pt>
    <dgm:pt modelId="{FA7EE788-F214-4BBB-ACF0-4FDD8B02A53E}" type="parTrans" cxnId="{ED44679A-CEAF-4243-A06D-189290E87EA5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5EE92F7-F766-42CD-BA85-433221B36DD0}" type="sibTrans" cxnId="{ED44679A-CEAF-4243-A06D-189290E87EA5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B09D084-9ED1-4FA3-9522-2E6A06211024}">
      <dgm:prSet phldrT="[Текст]" custT="1"/>
      <dgm:spPr/>
      <dgm:t>
        <a:bodyPr/>
        <a:lstStyle/>
        <a:p>
          <a:r>
            <a:rPr lang="ru-RU" sz="14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год = Обязательное </a:t>
          </a:r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обучение (А, СРОП, СРОС) </a:t>
          </a:r>
          <a:r>
            <a:rPr lang="ru-RU" sz="14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+ К + </a:t>
          </a:r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</a:t>
          </a:r>
          <a:endParaRPr lang="ru-RU" sz="14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8C40003-D474-4E49-A074-E61797D3327D}" type="sibTrans" cxnId="{9D3A673E-65BF-4082-A25C-B69E9A87A8A3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E255D50-5148-44D9-9AE4-6788211D0DC0}" type="parTrans" cxnId="{9D3A673E-65BF-4082-A25C-B69E9A87A8A3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F18D497-A248-4016-A8CA-0C4535AEB0A8}">
      <dgm:prSet phldrT="[Текст]" custScaleX="220241" custScaleY="124681" custRadScaleRad="95727" custRadScaleInc="-7864"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AF4F172-572C-42B0-8D31-456263D2D965}" type="parTrans" cxnId="{CEF031AC-E2A8-418D-9C6B-2CCE6D7CECFD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FABABE0-AF8E-4CBB-BEA9-D5B8FF242103}" type="sibTrans" cxnId="{CEF031AC-E2A8-418D-9C6B-2CCE6D7CECFD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08D57A1-EAE7-40ED-B018-50D19F082754}" type="pres">
      <dgm:prSet presAssocID="{87B05469-8926-482A-8C53-A8BB13CE01F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5860304-AF83-4751-8A60-DFC1ECF6E7DE}" type="pres">
      <dgm:prSet presAssocID="{DB05A1CB-9EA4-401D-BEAE-A0C2461B162A}" presName="singleCycle" presStyleCnt="0"/>
      <dgm:spPr/>
    </dgm:pt>
    <dgm:pt modelId="{8F0BCCB7-4B87-4F61-B951-B35DE346E8F4}" type="pres">
      <dgm:prSet presAssocID="{DB05A1CB-9EA4-401D-BEAE-A0C2461B162A}" presName="singleCenter" presStyleLbl="node1" presStyleIdx="0" presStyleCnt="4" custScaleX="245028" custScaleY="88267" custLinFactNeighborX="553" custLinFactNeighborY="-8251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22E30491-4AC6-48CA-8323-52BB12815C69}" type="pres">
      <dgm:prSet presAssocID="{EE255D50-5148-44D9-9AE4-6788211D0DC0}" presName="Name56" presStyleLbl="parChTrans1D2" presStyleIdx="0" presStyleCnt="3"/>
      <dgm:spPr/>
      <dgm:t>
        <a:bodyPr/>
        <a:lstStyle/>
        <a:p>
          <a:endParaRPr lang="ru-RU"/>
        </a:p>
      </dgm:t>
    </dgm:pt>
    <dgm:pt modelId="{DEE51C2D-076A-484A-97D6-6C6C0533280F}" type="pres">
      <dgm:prSet presAssocID="{BB09D084-9ED1-4FA3-9522-2E6A06211024}" presName="text0" presStyleLbl="node1" presStyleIdx="1" presStyleCnt="4" custScaleX="511596" custScaleY="112995" custRadScaleRad="83090" custRadScaleInc="2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DA6DF6-518A-4E01-AF32-7CDCC619E178}" type="pres">
      <dgm:prSet presAssocID="{BD1333C0-1AE0-4A55-ABB6-A42F37961F7D}" presName="Name56" presStyleLbl="parChTrans1D2" presStyleIdx="1" presStyleCnt="3"/>
      <dgm:spPr/>
      <dgm:t>
        <a:bodyPr/>
        <a:lstStyle/>
        <a:p>
          <a:endParaRPr lang="ru-RU"/>
        </a:p>
      </dgm:t>
    </dgm:pt>
    <dgm:pt modelId="{ED8ABF58-5C8E-4EB8-BE25-10F3F88D4911}" type="pres">
      <dgm:prSet presAssocID="{2F5C1986-99E2-4A78-AC44-2BCE5702CB35}" presName="text0" presStyleLbl="node1" presStyleIdx="2" presStyleCnt="4" custScaleX="255156" custScaleY="115209" custRadScaleRad="134953" custRadScaleInc="-20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E86043-DABA-43DC-9F6F-2627C2ACCE0E}" type="pres">
      <dgm:prSet presAssocID="{FA7EE788-F214-4BBB-ACF0-4FDD8B02A53E}" presName="Name56" presStyleLbl="parChTrans1D2" presStyleIdx="2" presStyleCnt="3"/>
      <dgm:spPr/>
      <dgm:t>
        <a:bodyPr/>
        <a:lstStyle/>
        <a:p>
          <a:endParaRPr lang="ru-RU"/>
        </a:p>
      </dgm:t>
    </dgm:pt>
    <dgm:pt modelId="{A70D8A50-BEF3-4A06-8362-53B5433C993F}" type="pres">
      <dgm:prSet presAssocID="{F783A47B-BC5B-487B-9BFF-3C4605D9AA2C}" presName="text0" presStyleLbl="node1" presStyleIdx="3" presStyleCnt="4" custScaleX="287175" custScaleY="119493" custRadScaleRad="139852" custRadScaleInc="23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6EE7A1A-A8DC-4FC8-B177-233E22D6D89E}" srcId="{DB05A1CB-9EA4-401D-BEAE-A0C2461B162A}" destId="{2F5C1986-99E2-4A78-AC44-2BCE5702CB35}" srcOrd="1" destOrd="0" parTransId="{BD1333C0-1AE0-4A55-ABB6-A42F37961F7D}" sibTransId="{00FF09A2-B2AA-4704-A082-12E8A3A600EA}"/>
    <dgm:cxn modelId="{CEF031AC-E2A8-418D-9C6B-2CCE6D7CECFD}" srcId="{87B05469-8926-482A-8C53-A8BB13CE01F3}" destId="{3F18D497-A248-4016-A8CA-0C4535AEB0A8}" srcOrd="1" destOrd="0" parTransId="{2AF4F172-572C-42B0-8D31-456263D2D965}" sibTransId="{8FABABE0-AF8E-4CBB-BEA9-D5B8FF242103}"/>
    <dgm:cxn modelId="{5A1D0AF9-A61A-4E19-85F0-6F667742D863}" srcId="{87B05469-8926-482A-8C53-A8BB13CE01F3}" destId="{DB05A1CB-9EA4-401D-BEAE-A0C2461B162A}" srcOrd="0" destOrd="0" parTransId="{285BDC93-9922-4843-B794-B1C49EF43E2D}" sibTransId="{43090B4F-BD73-4456-9103-C5249DDA3D00}"/>
    <dgm:cxn modelId="{ED44679A-CEAF-4243-A06D-189290E87EA5}" srcId="{DB05A1CB-9EA4-401D-BEAE-A0C2461B162A}" destId="{F783A47B-BC5B-487B-9BFF-3C4605D9AA2C}" srcOrd="2" destOrd="0" parTransId="{FA7EE788-F214-4BBB-ACF0-4FDD8B02A53E}" sibTransId="{65EE92F7-F766-42CD-BA85-433221B36DD0}"/>
    <dgm:cxn modelId="{E5381FD5-B769-44CE-B04D-23794143FF58}" type="presOf" srcId="{F783A47B-BC5B-487B-9BFF-3C4605D9AA2C}" destId="{A70D8A50-BEF3-4A06-8362-53B5433C993F}" srcOrd="0" destOrd="0" presId="urn:microsoft.com/office/officeart/2008/layout/RadialCluster"/>
    <dgm:cxn modelId="{E4F09DEC-B3A7-4913-96F9-BCC2E557C445}" type="presOf" srcId="{EE255D50-5148-44D9-9AE4-6788211D0DC0}" destId="{22E30491-4AC6-48CA-8323-52BB12815C69}" srcOrd="0" destOrd="0" presId="urn:microsoft.com/office/officeart/2008/layout/RadialCluster"/>
    <dgm:cxn modelId="{4F0E3A23-C2A4-48F0-A335-9AF2CE6451DE}" type="presOf" srcId="{2F5C1986-99E2-4A78-AC44-2BCE5702CB35}" destId="{ED8ABF58-5C8E-4EB8-BE25-10F3F88D4911}" srcOrd="0" destOrd="0" presId="urn:microsoft.com/office/officeart/2008/layout/RadialCluster"/>
    <dgm:cxn modelId="{A75FE8CD-C4DA-4D89-9DB5-D389229455BF}" type="presOf" srcId="{87B05469-8926-482A-8C53-A8BB13CE01F3}" destId="{508D57A1-EAE7-40ED-B018-50D19F082754}" srcOrd="0" destOrd="0" presId="urn:microsoft.com/office/officeart/2008/layout/RadialCluster"/>
    <dgm:cxn modelId="{EF4FE224-7959-4EF9-A478-E6D036E8293B}" type="presOf" srcId="{DB05A1CB-9EA4-401D-BEAE-A0C2461B162A}" destId="{8F0BCCB7-4B87-4F61-B951-B35DE346E8F4}" srcOrd="0" destOrd="0" presId="urn:microsoft.com/office/officeart/2008/layout/RadialCluster"/>
    <dgm:cxn modelId="{DFF5FF68-59F0-4F1D-9782-7F461E2D3878}" type="presOf" srcId="{BD1333C0-1AE0-4A55-ABB6-A42F37961F7D}" destId="{EFDA6DF6-518A-4E01-AF32-7CDCC619E178}" srcOrd="0" destOrd="0" presId="urn:microsoft.com/office/officeart/2008/layout/RadialCluster"/>
    <dgm:cxn modelId="{72A8FF7F-42F3-4F2E-97AC-2C7204700027}" type="presOf" srcId="{BB09D084-9ED1-4FA3-9522-2E6A06211024}" destId="{DEE51C2D-076A-484A-97D6-6C6C0533280F}" srcOrd="0" destOrd="0" presId="urn:microsoft.com/office/officeart/2008/layout/RadialCluster"/>
    <dgm:cxn modelId="{9D3A673E-65BF-4082-A25C-B69E9A87A8A3}" srcId="{DB05A1CB-9EA4-401D-BEAE-A0C2461B162A}" destId="{BB09D084-9ED1-4FA3-9522-2E6A06211024}" srcOrd="0" destOrd="0" parTransId="{EE255D50-5148-44D9-9AE4-6788211D0DC0}" sibTransId="{68C40003-D474-4E49-A074-E61797D3327D}"/>
    <dgm:cxn modelId="{5832EE7C-7678-4507-B11A-802AEDFB974F}" type="presOf" srcId="{FA7EE788-F214-4BBB-ACF0-4FDD8B02A53E}" destId="{04E86043-DABA-43DC-9F6F-2627C2ACCE0E}" srcOrd="0" destOrd="0" presId="urn:microsoft.com/office/officeart/2008/layout/RadialCluster"/>
    <dgm:cxn modelId="{3A697012-8221-4F57-A87D-7580F5D0F8E0}" type="presParOf" srcId="{508D57A1-EAE7-40ED-B018-50D19F082754}" destId="{15860304-AF83-4751-8A60-DFC1ECF6E7DE}" srcOrd="0" destOrd="0" presId="urn:microsoft.com/office/officeart/2008/layout/RadialCluster"/>
    <dgm:cxn modelId="{9278E33E-F94A-4852-8737-8D9E82CE4E95}" type="presParOf" srcId="{15860304-AF83-4751-8A60-DFC1ECF6E7DE}" destId="{8F0BCCB7-4B87-4F61-B951-B35DE346E8F4}" srcOrd="0" destOrd="0" presId="urn:microsoft.com/office/officeart/2008/layout/RadialCluster"/>
    <dgm:cxn modelId="{3B286F83-00EE-4379-8C24-493B695731AD}" type="presParOf" srcId="{15860304-AF83-4751-8A60-DFC1ECF6E7DE}" destId="{22E30491-4AC6-48CA-8323-52BB12815C69}" srcOrd="1" destOrd="0" presId="urn:microsoft.com/office/officeart/2008/layout/RadialCluster"/>
    <dgm:cxn modelId="{5558D9E0-62A7-4A9A-B59A-869BA22F2FC4}" type="presParOf" srcId="{15860304-AF83-4751-8A60-DFC1ECF6E7DE}" destId="{DEE51C2D-076A-484A-97D6-6C6C0533280F}" srcOrd="2" destOrd="0" presId="urn:microsoft.com/office/officeart/2008/layout/RadialCluster"/>
    <dgm:cxn modelId="{4641E394-A527-4639-A77C-594704B54C2E}" type="presParOf" srcId="{15860304-AF83-4751-8A60-DFC1ECF6E7DE}" destId="{EFDA6DF6-518A-4E01-AF32-7CDCC619E178}" srcOrd="3" destOrd="0" presId="urn:microsoft.com/office/officeart/2008/layout/RadialCluster"/>
    <dgm:cxn modelId="{A670D613-C93B-40C6-87C2-2E01E69D9F1B}" type="presParOf" srcId="{15860304-AF83-4751-8A60-DFC1ECF6E7DE}" destId="{ED8ABF58-5C8E-4EB8-BE25-10F3F88D4911}" srcOrd="4" destOrd="0" presId="urn:microsoft.com/office/officeart/2008/layout/RadialCluster"/>
    <dgm:cxn modelId="{EE4F39B5-AFB4-4C45-9915-B05FBA8EAAC7}" type="presParOf" srcId="{15860304-AF83-4751-8A60-DFC1ECF6E7DE}" destId="{04E86043-DABA-43DC-9F6F-2627C2ACCE0E}" srcOrd="5" destOrd="0" presId="urn:microsoft.com/office/officeart/2008/layout/RadialCluster"/>
    <dgm:cxn modelId="{C966C18F-680B-4929-A0DD-D2221A61DDD8}" type="presParOf" srcId="{15860304-AF83-4751-8A60-DFC1ECF6E7DE}" destId="{A70D8A50-BEF3-4A06-8362-53B5433C993F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0BCCB7-4B87-4F61-B951-B35DE346E8F4}">
      <dsp:nvSpPr>
        <dsp:cNvPr id="0" name=""/>
        <dsp:cNvSpPr/>
      </dsp:nvSpPr>
      <dsp:spPr>
        <a:xfrm>
          <a:off x="1950278" y="1188227"/>
          <a:ext cx="2164651" cy="779777"/>
        </a:xfrm>
        <a:prstGeom prst="roundRect">
          <a:avLst/>
        </a:pr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Общий объем </a:t>
          </a: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учебного времени  - </a:t>
          </a:r>
          <a:r>
            <a:rPr lang="ru-RU" sz="14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67/2010</a:t>
          </a:r>
          <a:endParaRPr lang="ru-RU" sz="1400" b="1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988344" y="1226293"/>
        <a:ext cx="2088519" cy="703645"/>
      </dsp:txXfrm>
    </dsp:sp>
    <dsp:sp modelId="{22E30491-4AC6-48CA-8323-52BB12815C69}">
      <dsp:nvSpPr>
        <dsp:cNvPr id="0" name=""/>
        <dsp:cNvSpPr/>
      </dsp:nvSpPr>
      <dsp:spPr>
        <a:xfrm rot="16238900">
          <a:off x="2948397" y="1098599"/>
          <a:ext cx="1792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926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E51C2D-076A-484A-97D6-6C6C0533280F}">
      <dsp:nvSpPr>
        <dsp:cNvPr id="0" name=""/>
        <dsp:cNvSpPr/>
      </dsp:nvSpPr>
      <dsp:spPr>
        <a:xfrm>
          <a:off x="1528765" y="340156"/>
          <a:ext cx="3028128" cy="6688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год = Обязательное </a:t>
          </a: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обучение (А, СРОП, СРОС) </a:t>
          </a:r>
          <a:r>
            <a:rPr lang="ru-RU" sz="14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+ К + </a:t>
          </a: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</a:t>
          </a:r>
          <a:endParaRPr lang="ru-RU" sz="14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561414" y="372805"/>
        <a:ext cx="2962830" cy="603517"/>
      </dsp:txXfrm>
    </dsp:sp>
    <dsp:sp modelId="{EFDA6DF6-518A-4E01-AF32-7CDCC619E178}">
      <dsp:nvSpPr>
        <dsp:cNvPr id="0" name=""/>
        <dsp:cNvSpPr/>
      </dsp:nvSpPr>
      <dsp:spPr>
        <a:xfrm rot="1451497">
          <a:off x="3895283" y="1992282"/>
          <a:ext cx="1184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48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8ABF58-5C8E-4EB8-BE25-10F3F88D4911}">
      <dsp:nvSpPr>
        <dsp:cNvPr id="0" name=""/>
        <dsp:cNvSpPr/>
      </dsp:nvSpPr>
      <dsp:spPr>
        <a:xfrm>
          <a:off x="4008565" y="2014836"/>
          <a:ext cx="1510264" cy="6819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СРОС (12/360)</a:t>
          </a:r>
        </a:p>
      </dsp:txBody>
      <dsp:txXfrm>
        <a:off x="4041854" y="2048125"/>
        <a:ext cx="1443686" cy="615342"/>
      </dsp:txXfrm>
    </dsp:sp>
    <dsp:sp modelId="{04E86043-DABA-43DC-9F6F-2627C2ACCE0E}">
      <dsp:nvSpPr>
        <dsp:cNvPr id="0" name=""/>
        <dsp:cNvSpPr/>
      </dsp:nvSpPr>
      <dsp:spPr>
        <a:xfrm rot="9488967">
          <a:off x="2039538" y="1972013"/>
          <a:ext cx="2153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53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D8A50-BEF3-4A06-8362-53B5433C993F}">
      <dsp:nvSpPr>
        <dsp:cNvPr id="0" name=""/>
        <dsp:cNvSpPr/>
      </dsp:nvSpPr>
      <dsp:spPr>
        <a:xfrm>
          <a:off x="340528" y="1963185"/>
          <a:ext cx="1699784" cy="7072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А+ СРОП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(55/1650)</a:t>
          </a:r>
        </a:p>
      </dsp:txBody>
      <dsp:txXfrm>
        <a:off x="375054" y="1997711"/>
        <a:ext cx="1630732" cy="638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3</cp:revision>
  <dcterms:created xsi:type="dcterms:W3CDTF">2018-11-06T09:21:00Z</dcterms:created>
  <dcterms:modified xsi:type="dcterms:W3CDTF">2018-11-06T10:43:00Z</dcterms:modified>
</cp:coreProperties>
</file>